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C2" w:rsidRDefault="00DA00C2" w:rsidP="00DA00C2">
      <w:pPr>
        <w:spacing w:line="276" w:lineRule="auto"/>
        <w:jc w:val="center"/>
        <w:rPr>
          <w:rFonts w:ascii="Times New Roman" w:hAnsi="Times New Roman" w:cs="Times New Roman"/>
          <w:b/>
          <w:sz w:val="26"/>
          <w:szCs w:val="26"/>
        </w:rPr>
      </w:pPr>
    </w:p>
    <w:p w:rsidR="00DA00C2" w:rsidRPr="009705AE" w:rsidRDefault="00DA00C2" w:rsidP="00DA00C2">
      <w:pPr>
        <w:spacing w:line="276" w:lineRule="auto"/>
        <w:jc w:val="center"/>
        <w:rPr>
          <w:rFonts w:ascii="Times New Roman" w:hAnsi="Times New Roman" w:cs="Times New Roman"/>
          <w:sz w:val="26"/>
          <w:szCs w:val="26"/>
        </w:rPr>
      </w:pPr>
      <w:r>
        <w:rPr>
          <w:rFonts w:ascii="Times New Roman" w:hAnsi="Times New Roman" w:cs="Times New Roman"/>
          <w:b/>
          <w:sz w:val="26"/>
          <w:szCs w:val="26"/>
        </w:rPr>
        <w:t>Opinia Asociației Comunitatea</w:t>
      </w:r>
      <w:r w:rsidRPr="00042854">
        <w:rPr>
          <w:rFonts w:ascii="Times New Roman" w:hAnsi="Times New Roman" w:cs="Times New Roman"/>
          <w:b/>
          <w:sz w:val="26"/>
          <w:szCs w:val="26"/>
        </w:rPr>
        <w:t xml:space="preserve"> „</w:t>
      </w:r>
      <w:proofErr w:type="spellStart"/>
      <w:r w:rsidRPr="00042854">
        <w:rPr>
          <w:rFonts w:ascii="Times New Roman" w:hAnsi="Times New Roman" w:cs="Times New Roman"/>
          <w:b/>
          <w:sz w:val="26"/>
          <w:szCs w:val="26"/>
        </w:rPr>
        <w:t>WatchDog.md</w:t>
      </w:r>
      <w:proofErr w:type="spellEnd"/>
      <w:r w:rsidRPr="00042854">
        <w:rPr>
          <w:rFonts w:ascii="Times New Roman" w:hAnsi="Times New Roman" w:cs="Times New Roman"/>
          <w:b/>
          <w:sz w:val="26"/>
          <w:szCs w:val="26"/>
        </w:rPr>
        <w:t>”</w:t>
      </w:r>
      <w:r w:rsidRPr="009705AE">
        <w:rPr>
          <w:rFonts w:ascii="Times New Roman" w:hAnsi="Times New Roman" w:cs="Times New Roman"/>
          <w:sz w:val="26"/>
          <w:szCs w:val="26"/>
        </w:rPr>
        <w:t xml:space="preserve"> asupra</w:t>
      </w:r>
      <w:r>
        <w:rPr>
          <w:rFonts w:ascii="Times New Roman" w:hAnsi="Times New Roman" w:cs="Times New Roman"/>
          <w:sz w:val="26"/>
          <w:szCs w:val="26"/>
        </w:rPr>
        <w:t xml:space="preserve"> </w:t>
      </w:r>
      <w:r w:rsidRPr="009705AE">
        <w:rPr>
          <w:rFonts w:ascii="Times New Roman" w:hAnsi="Times New Roman" w:cs="Times New Roman"/>
          <w:sz w:val="26"/>
          <w:szCs w:val="26"/>
        </w:rPr>
        <w:t xml:space="preserve">proiectului </w:t>
      </w:r>
      <w:r>
        <w:rPr>
          <w:rFonts w:ascii="Times New Roman" w:hAnsi="Times New Roman" w:cs="Times New Roman"/>
          <w:sz w:val="26"/>
          <w:szCs w:val="26"/>
        </w:rPr>
        <w:br/>
      </w:r>
      <w:r w:rsidRPr="009705AE">
        <w:rPr>
          <w:rFonts w:ascii="Times New Roman" w:hAnsi="Times New Roman" w:cs="Times New Roman"/>
          <w:sz w:val="26"/>
          <w:szCs w:val="26"/>
        </w:rPr>
        <w:t>Legii pentru modificarea și completarea Codului Electoral</w:t>
      </w:r>
      <w:r>
        <w:rPr>
          <w:rFonts w:ascii="Times New Roman" w:hAnsi="Times New Roman" w:cs="Times New Roman"/>
          <w:sz w:val="26"/>
          <w:szCs w:val="26"/>
        </w:rPr>
        <w:t>, autor Ministerul Justiției.</w:t>
      </w:r>
    </w:p>
    <w:p w:rsidR="00DA00C2" w:rsidRDefault="00DA00C2" w:rsidP="00DA00C2">
      <w:pPr>
        <w:spacing w:line="276" w:lineRule="auto"/>
        <w:jc w:val="center"/>
        <w:rPr>
          <w:rFonts w:ascii="Times New Roman" w:hAnsi="Times New Roman" w:cs="Times New Roman"/>
          <w:i/>
        </w:rPr>
      </w:pPr>
      <w:r>
        <w:rPr>
          <w:rFonts w:ascii="Times New Roman" w:hAnsi="Times New Roman" w:cs="Times New Roman"/>
          <w:i/>
        </w:rPr>
        <w:t>/</w:t>
      </w:r>
      <w:r w:rsidRPr="009705AE">
        <w:rPr>
          <w:rFonts w:ascii="Times New Roman" w:hAnsi="Times New Roman" w:cs="Times New Roman"/>
          <w:i/>
        </w:rPr>
        <w:t xml:space="preserve">subiecții ce pot iniția orice tip de referendum și cei care pot iniția </w:t>
      </w:r>
      <w:r>
        <w:rPr>
          <w:rFonts w:ascii="Times New Roman" w:hAnsi="Times New Roman" w:cs="Times New Roman"/>
          <w:i/>
        </w:rPr>
        <w:t>doar referendumuri consultative</w:t>
      </w:r>
      <w:r w:rsidRPr="009705AE">
        <w:rPr>
          <w:rFonts w:ascii="Times New Roman" w:hAnsi="Times New Roman" w:cs="Times New Roman"/>
          <w:i/>
        </w:rPr>
        <w:t>/</w:t>
      </w:r>
    </w:p>
    <w:p w:rsidR="00DA00C2" w:rsidRPr="009705AE" w:rsidRDefault="00DA00C2" w:rsidP="00DA00C2">
      <w:pPr>
        <w:spacing w:line="276" w:lineRule="auto"/>
        <w:jc w:val="center"/>
        <w:rPr>
          <w:rFonts w:ascii="Times New Roman" w:hAnsi="Times New Roman" w:cs="Times New Roman"/>
          <w:i/>
        </w:rPr>
      </w:pP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La data de 11.02.2018, a avut loc adunarea a unui </w:t>
      </w:r>
      <w:r w:rsidRPr="00042854">
        <w:rPr>
          <w:rFonts w:ascii="Times New Roman" w:hAnsi="Times New Roman" w:cs="Times New Roman"/>
          <w:i/>
          <w:sz w:val="26"/>
          <w:szCs w:val="26"/>
        </w:rPr>
        <w:t>nou</w:t>
      </w:r>
      <w:r w:rsidRPr="009705AE">
        <w:rPr>
          <w:rFonts w:ascii="Times New Roman" w:hAnsi="Times New Roman" w:cs="Times New Roman"/>
          <w:sz w:val="26"/>
          <w:szCs w:val="26"/>
        </w:rPr>
        <w:t xml:space="preserve"> </w:t>
      </w:r>
      <w:r w:rsidRPr="009705AE">
        <w:rPr>
          <w:rFonts w:ascii="Times New Roman" w:hAnsi="Times New Roman" w:cs="Times New Roman"/>
          <w:i/>
          <w:sz w:val="26"/>
          <w:szCs w:val="26"/>
        </w:rPr>
        <w:t>grup de inițiativă</w:t>
      </w:r>
      <w:r w:rsidRPr="009705AE">
        <w:rPr>
          <w:rFonts w:ascii="Times New Roman" w:hAnsi="Times New Roman" w:cs="Times New Roman"/>
          <w:sz w:val="26"/>
          <w:szCs w:val="26"/>
        </w:rPr>
        <w:t xml:space="preserve"> (unde au participat peste 800 de cetățeni) </w:t>
      </w:r>
      <w:r>
        <w:rPr>
          <w:rFonts w:ascii="Times New Roman" w:hAnsi="Times New Roman" w:cs="Times New Roman"/>
          <w:sz w:val="26"/>
          <w:szCs w:val="26"/>
        </w:rPr>
        <w:t xml:space="preserve">cu privire la </w:t>
      </w:r>
      <w:r w:rsidRPr="009705AE">
        <w:rPr>
          <w:rFonts w:ascii="Times New Roman" w:hAnsi="Times New Roman" w:cs="Times New Roman"/>
          <w:sz w:val="26"/>
          <w:szCs w:val="26"/>
        </w:rPr>
        <w:t>desfășurarea referendumului republican legislativ de anulare a sistemului electoral mixt.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În scurt timp, la data de 15.02.2018 Ministerul Justiției a plasat pe pagina sa web</w:t>
      </w:r>
      <w:r w:rsidRPr="009705AE">
        <w:rPr>
          <w:rStyle w:val="Referinnotdesubsol"/>
          <w:rFonts w:ascii="Times New Roman" w:hAnsi="Times New Roman" w:cs="Times New Roman"/>
          <w:sz w:val="26"/>
          <w:szCs w:val="26"/>
        </w:rPr>
        <w:footnoteReference w:id="1"/>
      </w:r>
      <w:r w:rsidRPr="009705AE">
        <w:rPr>
          <w:rFonts w:ascii="Times New Roman" w:hAnsi="Times New Roman" w:cs="Times New Roman"/>
          <w:sz w:val="26"/>
          <w:szCs w:val="26"/>
        </w:rPr>
        <w:t xml:space="preserve"> </w:t>
      </w:r>
      <w:r w:rsidRPr="009705AE">
        <w:rPr>
          <w:rFonts w:ascii="Times New Roman" w:hAnsi="Times New Roman" w:cs="Times New Roman"/>
          <w:i/>
          <w:sz w:val="26"/>
          <w:szCs w:val="26"/>
        </w:rPr>
        <w:t>proiectul Legii pentru modificarea și completarea Codului Electoral</w:t>
      </w:r>
      <w:r w:rsidRPr="009705AE">
        <w:rPr>
          <w:rFonts w:ascii="Times New Roman" w:hAnsi="Times New Roman" w:cs="Times New Roman"/>
          <w:sz w:val="26"/>
          <w:szCs w:val="26"/>
        </w:rPr>
        <w:t xml:space="preserve">, care potrivit autorului, </w:t>
      </w:r>
      <w:r w:rsidRPr="009705AE">
        <w:rPr>
          <w:rFonts w:ascii="Times New Roman" w:hAnsi="Times New Roman" w:cs="Times New Roman"/>
          <w:b/>
          <w:sz w:val="26"/>
          <w:szCs w:val="26"/>
        </w:rPr>
        <w:t>a fost elaborat în scopul executării Hotărârii Curții Constituționale nr.24/2017</w:t>
      </w:r>
      <w:r>
        <w:rPr>
          <w:rStyle w:val="Referinnotdesubsol"/>
          <w:rFonts w:ascii="Times New Roman" w:hAnsi="Times New Roman" w:cs="Times New Roman"/>
          <w:b/>
          <w:sz w:val="26"/>
          <w:szCs w:val="26"/>
        </w:rPr>
        <w:footnoteReference w:id="2"/>
      </w:r>
      <w:r w:rsidRPr="009705AE">
        <w:rPr>
          <w:rFonts w:ascii="Times New Roman" w:hAnsi="Times New Roman" w:cs="Times New Roman"/>
          <w:sz w:val="26"/>
          <w:szCs w:val="26"/>
        </w:rPr>
        <w:t xml:space="preserve"> privind controlul constituționalității Decretului Preșe</w:t>
      </w:r>
      <w:r>
        <w:rPr>
          <w:rFonts w:ascii="Times New Roman" w:hAnsi="Times New Roman" w:cs="Times New Roman"/>
          <w:sz w:val="26"/>
          <w:szCs w:val="26"/>
        </w:rPr>
        <w:t>dintelui Republicii Moldova nr.</w:t>
      </w:r>
      <w:r w:rsidRPr="009705AE">
        <w:rPr>
          <w:rFonts w:ascii="Times New Roman" w:hAnsi="Times New Roman" w:cs="Times New Roman"/>
          <w:sz w:val="26"/>
          <w:szCs w:val="26"/>
        </w:rPr>
        <w:t>105-VIII din 28 martie 2017 privind desfășurarea referendumului republican consultativ asupra unor probleme de interes național” (referendumul republican consultativ).</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Potrivit notei informative</w:t>
      </w:r>
      <w:r w:rsidRPr="009705AE">
        <w:rPr>
          <w:rStyle w:val="Referinnotdesubsol"/>
          <w:rFonts w:ascii="Times New Roman" w:hAnsi="Times New Roman" w:cs="Times New Roman"/>
          <w:sz w:val="26"/>
          <w:szCs w:val="26"/>
        </w:rPr>
        <w:footnoteReference w:id="3"/>
      </w:r>
      <w:r w:rsidRPr="009705AE">
        <w:rPr>
          <w:rFonts w:ascii="Times New Roman" w:hAnsi="Times New Roman" w:cs="Times New Roman"/>
          <w:sz w:val="26"/>
          <w:szCs w:val="26"/>
        </w:rPr>
        <w:t xml:space="preserve"> la proiectul de lege în cauză, </w:t>
      </w:r>
      <w:r w:rsidRPr="009705AE">
        <w:rPr>
          <w:rFonts w:ascii="Times New Roman" w:hAnsi="Times New Roman" w:cs="Times New Roman"/>
          <w:i/>
          <w:sz w:val="26"/>
          <w:szCs w:val="26"/>
        </w:rPr>
        <w:t>Ministerul Justiției propune instituirea unor norme clare şi previzibile în privinţa tipurilor de referendum republican şi subiecţii care dispun de dreptul de iniţiere a acestora</w:t>
      </w:r>
      <w:r w:rsidRPr="009705AE">
        <w:rPr>
          <w:rFonts w:ascii="Times New Roman" w:hAnsi="Times New Roman" w:cs="Times New Roman"/>
          <w:sz w:val="26"/>
          <w:szCs w:val="26"/>
        </w:rPr>
        <w:t>, urmare a constatărilor / statuărilor Curții Const</w:t>
      </w:r>
      <w:r>
        <w:rPr>
          <w:rFonts w:ascii="Times New Roman" w:hAnsi="Times New Roman" w:cs="Times New Roman"/>
          <w:sz w:val="26"/>
          <w:szCs w:val="26"/>
        </w:rPr>
        <w:t>ituționale ce rezultă din Hotărâ</w:t>
      </w:r>
      <w:r w:rsidRPr="009705AE">
        <w:rPr>
          <w:rFonts w:ascii="Times New Roman" w:hAnsi="Times New Roman" w:cs="Times New Roman"/>
          <w:sz w:val="26"/>
          <w:szCs w:val="26"/>
        </w:rPr>
        <w:t>rea nr.24/2017.</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Cu toate că proiectul de lege pentru modificarea și completarea Codului Electoral, în linii mari execută observațiile din adresa Curții Constituționale PCC-01/40a-24, ținem să subliniem că </w:t>
      </w:r>
      <w:r w:rsidRPr="00042854">
        <w:rPr>
          <w:rFonts w:ascii="Times New Roman" w:hAnsi="Times New Roman" w:cs="Times New Roman"/>
          <w:i/>
          <w:sz w:val="26"/>
          <w:szCs w:val="26"/>
        </w:rPr>
        <w:t>proiectul conține și</w:t>
      </w:r>
      <w:r w:rsidRPr="009705AE">
        <w:rPr>
          <w:rFonts w:ascii="Times New Roman" w:hAnsi="Times New Roman" w:cs="Times New Roman"/>
          <w:sz w:val="26"/>
          <w:szCs w:val="26"/>
        </w:rPr>
        <w:t xml:space="preserve"> </w:t>
      </w:r>
      <w:r w:rsidRPr="00042854">
        <w:rPr>
          <w:rFonts w:ascii="Times New Roman" w:hAnsi="Times New Roman" w:cs="Times New Roman"/>
          <w:i/>
          <w:sz w:val="26"/>
          <w:szCs w:val="26"/>
        </w:rPr>
        <w:t>latura ascunsă a scopului și rezultatelor soluțiilor legislative propuse</w:t>
      </w:r>
      <w:r w:rsidRPr="009705AE">
        <w:rPr>
          <w:rFonts w:ascii="Times New Roman" w:hAnsi="Times New Roman" w:cs="Times New Roman"/>
          <w:sz w:val="26"/>
          <w:szCs w:val="26"/>
        </w:rPr>
        <w: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Or, în opinia noastră, urmare a adoptării de către Parlament a unor asemenea prevederi, vom obține în final următoarele axiome:</w:t>
      </w:r>
    </w:p>
    <w:p w:rsidR="00DA00C2" w:rsidRPr="009705AE" w:rsidRDefault="00DA00C2" w:rsidP="00DA00C2">
      <w:pPr>
        <w:pStyle w:val="Listparagraf"/>
        <w:numPr>
          <w:ilvl w:val="0"/>
          <w:numId w:val="1"/>
        </w:numPr>
        <w:spacing w:line="276" w:lineRule="auto"/>
        <w:ind w:left="851" w:hanging="567"/>
        <w:jc w:val="both"/>
        <w:rPr>
          <w:rFonts w:ascii="Times New Roman" w:hAnsi="Times New Roman" w:cs="Times New Roman"/>
          <w:sz w:val="26"/>
          <w:szCs w:val="26"/>
        </w:rPr>
      </w:pPr>
      <w:r w:rsidRPr="009705AE">
        <w:rPr>
          <w:rFonts w:ascii="Times New Roman" w:hAnsi="Times New Roman" w:cs="Times New Roman"/>
          <w:sz w:val="26"/>
          <w:szCs w:val="26"/>
        </w:rPr>
        <w:lastRenderedPageBreak/>
        <w:t xml:space="preserve">un număr de cel puţin 1/3 din deputaţii în Parlament </w:t>
      </w:r>
      <w:r w:rsidRPr="009705AE">
        <w:rPr>
          <w:rFonts w:ascii="Times New Roman" w:hAnsi="Times New Roman" w:cs="Times New Roman"/>
          <w:b/>
          <w:sz w:val="26"/>
          <w:szCs w:val="26"/>
        </w:rPr>
        <w:t>vor putea iniţia orice tip de referendum</w:t>
      </w:r>
      <w:r w:rsidRPr="009705AE">
        <w:rPr>
          <w:rFonts w:ascii="Times New Roman" w:hAnsi="Times New Roman" w:cs="Times New Roman"/>
          <w:sz w:val="26"/>
          <w:szCs w:val="26"/>
        </w:rPr>
        <w:t xml:space="preserve"> (constituțional, legislativ și</w:t>
      </w:r>
      <w:r>
        <w:rPr>
          <w:rFonts w:ascii="Times New Roman" w:hAnsi="Times New Roman" w:cs="Times New Roman"/>
          <w:sz w:val="26"/>
          <w:szCs w:val="26"/>
        </w:rPr>
        <w:t>/sau</w:t>
      </w:r>
      <w:r w:rsidRPr="009705AE">
        <w:rPr>
          <w:rFonts w:ascii="Times New Roman" w:hAnsi="Times New Roman" w:cs="Times New Roman"/>
          <w:sz w:val="26"/>
          <w:szCs w:val="26"/>
        </w:rPr>
        <w:t xml:space="preserve"> consultativ);</w:t>
      </w:r>
    </w:p>
    <w:p w:rsidR="00DA00C2" w:rsidRPr="009705AE" w:rsidRDefault="00DA00C2" w:rsidP="00DA00C2">
      <w:pPr>
        <w:pStyle w:val="Listparagraf"/>
        <w:numPr>
          <w:ilvl w:val="0"/>
          <w:numId w:val="1"/>
        </w:numPr>
        <w:spacing w:line="276" w:lineRule="auto"/>
        <w:ind w:left="851" w:hanging="567"/>
        <w:jc w:val="both"/>
        <w:rPr>
          <w:rFonts w:ascii="Times New Roman" w:hAnsi="Times New Roman" w:cs="Times New Roman"/>
          <w:sz w:val="26"/>
          <w:szCs w:val="26"/>
        </w:rPr>
      </w:pPr>
      <w:r w:rsidRPr="009705AE">
        <w:rPr>
          <w:rFonts w:ascii="Times New Roman" w:hAnsi="Times New Roman" w:cs="Times New Roman"/>
          <w:sz w:val="26"/>
          <w:szCs w:val="26"/>
        </w:rPr>
        <w:t xml:space="preserve">un număr de cel puţin 1/3 din deputaţii în Parlament, Preşedintele Republicii Moldova și Guvernul </w:t>
      </w:r>
      <w:r w:rsidRPr="009705AE">
        <w:rPr>
          <w:rFonts w:ascii="Times New Roman" w:hAnsi="Times New Roman" w:cs="Times New Roman"/>
          <w:i/>
          <w:sz w:val="26"/>
          <w:szCs w:val="26"/>
        </w:rPr>
        <w:t>vor putea iniția refe</w:t>
      </w:r>
      <w:r>
        <w:rPr>
          <w:rFonts w:ascii="Times New Roman" w:hAnsi="Times New Roman" w:cs="Times New Roman"/>
          <w:i/>
          <w:sz w:val="26"/>
          <w:szCs w:val="26"/>
        </w:rPr>
        <w:t>re</w:t>
      </w:r>
      <w:r w:rsidRPr="009705AE">
        <w:rPr>
          <w:rFonts w:ascii="Times New Roman" w:hAnsi="Times New Roman" w:cs="Times New Roman"/>
          <w:i/>
          <w:sz w:val="26"/>
          <w:szCs w:val="26"/>
        </w:rPr>
        <w:t>ndum consultativ</w:t>
      </w:r>
      <w:r w:rsidRPr="009705AE">
        <w:rPr>
          <w:rFonts w:ascii="Times New Roman" w:hAnsi="Times New Roman" w:cs="Times New Roman"/>
          <w:sz w:val="26"/>
          <w:szCs w:val="26"/>
        </w:rPr>
        <w:t>;</w:t>
      </w:r>
    </w:p>
    <w:p w:rsidR="00DA00C2" w:rsidRPr="009705AE" w:rsidRDefault="00DA00C2" w:rsidP="00DA00C2">
      <w:pPr>
        <w:pStyle w:val="Listparagraf"/>
        <w:numPr>
          <w:ilvl w:val="0"/>
          <w:numId w:val="1"/>
        </w:numPr>
        <w:spacing w:line="276" w:lineRule="auto"/>
        <w:ind w:left="851" w:hanging="567"/>
        <w:jc w:val="both"/>
        <w:rPr>
          <w:rFonts w:ascii="Times New Roman" w:hAnsi="Times New Roman" w:cs="Times New Roman"/>
          <w:sz w:val="26"/>
          <w:szCs w:val="26"/>
        </w:rPr>
      </w:pPr>
      <w:r w:rsidRPr="00914179">
        <w:rPr>
          <w:rFonts w:ascii="Times New Roman" w:hAnsi="Times New Roman" w:cs="Times New Roman"/>
          <w:sz w:val="26"/>
          <w:szCs w:val="26"/>
          <w:u w:val="single"/>
        </w:rPr>
        <w:t>un număr de cel puţin 200 mii de cetăţeni</w:t>
      </w:r>
      <w:r w:rsidRPr="009705AE">
        <w:rPr>
          <w:rFonts w:ascii="Times New Roman" w:hAnsi="Times New Roman" w:cs="Times New Roman"/>
          <w:sz w:val="26"/>
          <w:szCs w:val="26"/>
        </w:rPr>
        <w:t xml:space="preserve"> ai Republicii Moldova cu drept de vot,</w:t>
      </w:r>
      <w:r>
        <w:rPr>
          <w:rFonts w:ascii="Times New Roman" w:hAnsi="Times New Roman" w:cs="Times New Roman"/>
          <w:sz w:val="26"/>
          <w:szCs w:val="26"/>
        </w:rPr>
        <w:t xml:space="preserve"> vor putea iniția </w:t>
      </w:r>
      <w:r w:rsidRPr="00914179">
        <w:rPr>
          <w:rFonts w:ascii="Times New Roman" w:hAnsi="Times New Roman" w:cs="Times New Roman"/>
          <w:b/>
          <w:sz w:val="26"/>
          <w:szCs w:val="26"/>
          <w:u w:val="single"/>
        </w:rPr>
        <w:t>doar</w:t>
      </w:r>
      <w:r>
        <w:rPr>
          <w:rFonts w:ascii="Times New Roman" w:hAnsi="Times New Roman" w:cs="Times New Roman"/>
          <w:sz w:val="26"/>
          <w:szCs w:val="26"/>
        </w:rPr>
        <w:t xml:space="preserve"> </w:t>
      </w:r>
      <w:r>
        <w:rPr>
          <w:rFonts w:ascii="Times New Roman" w:hAnsi="Times New Roman" w:cs="Times New Roman"/>
          <w:i/>
          <w:sz w:val="26"/>
          <w:szCs w:val="26"/>
        </w:rPr>
        <w:t>referendum</w:t>
      </w:r>
      <w:r w:rsidRPr="009705AE">
        <w:rPr>
          <w:rFonts w:ascii="Times New Roman" w:hAnsi="Times New Roman" w:cs="Times New Roman"/>
          <w:i/>
          <w:sz w:val="26"/>
          <w:szCs w:val="26"/>
        </w:rPr>
        <w:t xml:space="preserve"> constituţional</w:t>
      </w:r>
      <w:r>
        <w:rPr>
          <w:rFonts w:ascii="Times New Roman" w:hAnsi="Times New Roman" w:cs="Times New Roman"/>
          <w:sz w:val="26"/>
          <w:szCs w:val="26"/>
        </w:rPr>
        <w:t>,</w:t>
      </w:r>
      <w:r w:rsidRPr="009705AE">
        <w:rPr>
          <w:rFonts w:ascii="Times New Roman" w:hAnsi="Times New Roman" w:cs="Times New Roman"/>
          <w:sz w:val="26"/>
          <w:szCs w:val="26"/>
        </w:rPr>
        <w:t xml:space="preserve"> </w:t>
      </w:r>
      <w:r>
        <w:rPr>
          <w:rFonts w:ascii="Times New Roman" w:hAnsi="Times New Roman" w:cs="Times New Roman"/>
          <w:sz w:val="26"/>
          <w:szCs w:val="26"/>
        </w:rPr>
        <w:t>prevăzut de</w:t>
      </w:r>
      <w:r w:rsidRPr="009705AE">
        <w:rPr>
          <w:rFonts w:ascii="Times New Roman" w:hAnsi="Times New Roman" w:cs="Times New Roman"/>
          <w:sz w:val="26"/>
          <w:szCs w:val="26"/>
        </w:rPr>
        <w:t xml:space="preserve"> art.141 alin.(1) lit.</w:t>
      </w:r>
      <w:r>
        <w:rPr>
          <w:rFonts w:ascii="Times New Roman" w:hAnsi="Times New Roman" w:cs="Times New Roman"/>
          <w:sz w:val="26"/>
          <w:szCs w:val="26"/>
        </w:rPr>
        <w:t xml:space="preserve"> </w:t>
      </w:r>
      <w:r w:rsidRPr="009705AE">
        <w:rPr>
          <w:rFonts w:ascii="Times New Roman" w:hAnsi="Times New Roman" w:cs="Times New Roman"/>
          <w:sz w:val="26"/>
          <w:szCs w:val="26"/>
        </w:rPr>
        <w:t>a) din Constituţie.</w:t>
      </w:r>
    </w:p>
    <w:p w:rsidR="00DA00C2"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Astfel, autorul proiectului î</w:t>
      </w:r>
      <w:r>
        <w:rPr>
          <w:rFonts w:ascii="Times New Roman" w:hAnsi="Times New Roman" w:cs="Times New Roman"/>
          <w:sz w:val="26"/>
          <w:szCs w:val="26"/>
        </w:rPr>
        <w:t>ntr-o manieră nevinovată și punâ</w:t>
      </w:r>
      <w:r w:rsidRPr="009705AE">
        <w:rPr>
          <w:rFonts w:ascii="Times New Roman" w:hAnsi="Times New Roman" w:cs="Times New Roman"/>
          <w:sz w:val="26"/>
          <w:szCs w:val="26"/>
        </w:rPr>
        <w:t xml:space="preserve">nd în față argumentul executării adresei Curții Constituționale, care în esență constată că Preşedintele țării poate iniţia doar referendumuri consultative, </w:t>
      </w:r>
      <w:r w:rsidRPr="009705AE">
        <w:rPr>
          <w:rFonts w:ascii="Times New Roman" w:hAnsi="Times New Roman" w:cs="Times New Roman"/>
          <w:sz w:val="26"/>
          <w:szCs w:val="26"/>
          <w:u w:val="single"/>
        </w:rPr>
        <w:t>în realitate urmărește ca prin proiectul de lege să ajungă la această formulă politico-electorală</w:t>
      </w:r>
      <w:r>
        <w:rPr>
          <w:rFonts w:ascii="Times New Roman" w:hAnsi="Times New Roman" w:cs="Times New Roman"/>
          <w:sz w:val="26"/>
          <w:szCs w:val="26"/>
        </w:rPr>
        <w:t>:</w:t>
      </w:r>
    </w:p>
    <w:p w:rsidR="00DA00C2" w:rsidRDefault="00DA00C2" w:rsidP="00DA00C2">
      <w:pPr>
        <w:spacing w:line="276" w:lineRule="auto"/>
        <w:ind w:left="851" w:hanging="425"/>
        <w:jc w:val="both"/>
        <w:rPr>
          <w:rFonts w:ascii="Times New Roman" w:hAnsi="Times New Roman" w:cs="Times New Roman"/>
          <w:sz w:val="26"/>
          <w:szCs w:val="26"/>
        </w:rPr>
      </w:pPr>
      <w:r w:rsidRPr="009705AE">
        <w:rPr>
          <w:rFonts w:ascii="Times New Roman" w:hAnsi="Times New Roman" w:cs="Times New Roman"/>
          <w:b/>
          <w:sz w:val="26"/>
          <w:szCs w:val="26"/>
        </w:rPr>
        <w:t>(1)</w:t>
      </w:r>
      <w:r w:rsidRPr="009705AE">
        <w:rPr>
          <w:rFonts w:ascii="Times New Roman" w:hAnsi="Times New Roman" w:cs="Times New Roman"/>
          <w:sz w:val="26"/>
          <w:szCs w:val="26"/>
        </w:rPr>
        <w:t xml:space="preserve"> 200 mii de cetățenii vor putea iniția doar referendum constituțional (art.141 alin.(1) lit.</w:t>
      </w:r>
      <w:r>
        <w:rPr>
          <w:rFonts w:ascii="Times New Roman" w:hAnsi="Times New Roman" w:cs="Times New Roman"/>
          <w:sz w:val="26"/>
          <w:szCs w:val="26"/>
        </w:rPr>
        <w:t xml:space="preserve"> </w:t>
      </w:r>
      <w:r w:rsidRPr="009705AE">
        <w:rPr>
          <w:rFonts w:ascii="Times New Roman" w:hAnsi="Times New Roman" w:cs="Times New Roman"/>
          <w:sz w:val="26"/>
          <w:szCs w:val="26"/>
        </w:rPr>
        <w:t>a) din Constituție);</w:t>
      </w:r>
    </w:p>
    <w:p w:rsidR="00DA00C2" w:rsidRDefault="00DA00C2" w:rsidP="00DA00C2">
      <w:pPr>
        <w:spacing w:line="276" w:lineRule="auto"/>
        <w:ind w:left="851" w:hanging="425"/>
        <w:jc w:val="both"/>
        <w:rPr>
          <w:rFonts w:ascii="Times New Roman" w:hAnsi="Times New Roman" w:cs="Times New Roman"/>
          <w:sz w:val="26"/>
          <w:szCs w:val="26"/>
        </w:rPr>
      </w:pPr>
      <w:r w:rsidRPr="009705AE">
        <w:rPr>
          <w:rFonts w:ascii="Times New Roman" w:hAnsi="Times New Roman" w:cs="Times New Roman"/>
          <w:b/>
          <w:sz w:val="26"/>
          <w:szCs w:val="26"/>
        </w:rPr>
        <w:t>(2)</w:t>
      </w:r>
      <w:r w:rsidRPr="009705AE">
        <w:rPr>
          <w:rFonts w:ascii="Times New Roman" w:hAnsi="Times New Roman" w:cs="Times New Roman"/>
          <w:sz w:val="26"/>
          <w:szCs w:val="26"/>
        </w:rPr>
        <w:t xml:space="preserve"> Guvernul va putea iniția referendum constituțional (art.141 alin.(1) lit.</w:t>
      </w:r>
      <w:r>
        <w:rPr>
          <w:rFonts w:ascii="Times New Roman" w:hAnsi="Times New Roman" w:cs="Times New Roman"/>
          <w:sz w:val="26"/>
          <w:szCs w:val="26"/>
        </w:rPr>
        <w:t xml:space="preserve"> </w:t>
      </w:r>
      <w:r w:rsidRPr="009705AE">
        <w:rPr>
          <w:rFonts w:ascii="Times New Roman" w:hAnsi="Times New Roman" w:cs="Times New Roman"/>
          <w:sz w:val="26"/>
          <w:szCs w:val="26"/>
        </w:rPr>
        <w:t>c) din Constituție) și referendum consultativ</w:t>
      </w:r>
      <w:r>
        <w:rPr>
          <w:rFonts w:ascii="Times New Roman" w:hAnsi="Times New Roman" w:cs="Times New Roman"/>
          <w:sz w:val="26"/>
          <w:szCs w:val="26"/>
        </w:rPr>
        <w:t>;</w:t>
      </w:r>
    </w:p>
    <w:p w:rsidR="00DA00C2" w:rsidRDefault="00DA00C2" w:rsidP="00DA00C2">
      <w:pPr>
        <w:spacing w:line="276" w:lineRule="auto"/>
        <w:ind w:left="851" w:hanging="425"/>
        <w:jc w:val="both"/>
        <w:rPr>
          <w:rFonts w:ascii="Times New Roman" w:hAnsi="Times New Roman" w:cs="Times New Roman"/>
          <w:sz w:val="26"/>
          <w:szCs w:val="26"/>
        </w:rPr>
      </w:pPr>
      <w:r w:rsidRPr="009705AE">
        <w:rPr>
          <w:rFonts w:ascii="Times New Roman" w:hAnsi="Times New Roman" w:cs="Times New Roman"/>
          <w:b/>
          <w:sz w:val="26"/>
          <w:szCs w:val="26"/>
        </w:rPr>
        <w:t>(3)</w:t>
      </w:r>
      <w:r w:rsidRPr="009705AE">
        <w:rPr>
          <w:rFonts w:ascii="Times New Roman" w:hAnsi="Times New Roman" w:cs="Times New Roman"/>
          <w:sz w:val="26"/>
          <w:szCs w:val="26"/>
        </w:rPr>
        <w:t xml:space="preserve"> Președintele țării va putea iniț</w:t>
      </w:r>
      <w:r>
        <w:rPr>
          <w:rFonts w:ascii="Times New Roman" w:hAnsi="Times New Roman" w:cs="Times New Roman"/>
          <w:sz w:val="26"/>
          <w:szCs w:val="26"/>
        </w:rPr>
        <w:t>ia doar referendum consultativ;</w:t>
      </w:r>
    </w:p>
    <w:p w:rsidR="00DA00C2" w:rsidRPr="009705AE" w:rsidRDefault="00DA00C2" w:rsidP="00DA00C2">
      <w:pPr>
        <w:spacing w:line="276" w:lineRule="auto"/>
        <w:ind w:left="851" w:hanging="425"/>
        <w:jc w:val="both"/>
        <w:rPr>
          <w:rFonts w:ascii="Times New Roman" w:hAnsi="Times New Roman" w:cs="Times New Roman"/>
          <w:sz w:val="26"/>
          <w:szCs w:val="26"/>
        </w:rPr>
      </w:pPr>
      <w:r w:rsidRPr="009705AE">
        <w:rPr>
          <w:rFonts w:ascii="Times New Roman" w:hAnsi="Times New Roman" w:cs="Times New Roman"/>
          <w:b/>
          <w:sz w:val="26"/>
          <w:szCs w:val="26"/>
        </w:rPr>
        <w:t>(4)</w:t>
      </w:r>
      <w:r w:rsidRPr="009705AE">
        <w:rPr>
          <w:rFonts w:ascii="Times New Roman" w:hAnsi="Times New Roman" w:cs="Times New Roman"/>
          <w:sz w:val="26"/>
          <w:szCs w:val="26"/>
        </w:rPr>
        <w:t xml:space="preserve"> un număr de cel puţin 1/3 din deputaţii în Parlament </w:t>
      </w:r>
      <w:r w:rsidRPr="009705AE">
        <w:rPr>
          <w:rFonts w:ascii="Times New Roman" w:hAnsi="Times New Roman" w:cs="Times New Roman"/>
          <w:b/>
          <w:sz w:val="26"/>
          <w:szCs w:val="26"/>
        </w:rPr>
        <w:t>vor putea iniţia orice tip de referendum</w:t>
      </w:r>
      <w:r w:rsidRPr="009705AE">
        <w:rPr>
          <w:rFonts w:ascii="Times New Roman" w:hAnsi="Times New Roman" w:cs="Times New Roman"/>
          <w:sz w:val="26"/>
          <w:szCs w:val="26"/>
        </w:rPr>
        <w:t xml:space="preserve"> (constituțional, legislativ și</w:t>
      </w:r>
      <w:r>
        <w:rPr>
          <w:rFonts w:ascii="Times New Roman" w:hAnsi="Times New Roman" w:cs="Times New Roman"/>
          <w:sz w:val="26"/>
          <w:szCs w:val="26"/>
        </w:rPr>
        <w:t>/sau</w:t>
      </w:r>
      <w:r w:rsidRPr="009705AE">
        <w:rPr>
          <w:rFonts w:ascii="Times New Roman" w:hAnsi="Times New Roman" w:cs="Times New Roman"/>
          <w:sz w:val="26"/>
          <w:szCs w:val="26"/>
        </w:rPr>
        <w:t xml:space="preserve"> consultativ).</w:t>
      </w:r>
    </w:p>
    <w:p w:rsidR="00DA00C2" w:rsidRPr="009705AE" w:rsidRDefault="00DA00C2" w:rsidP="00DA00C2">
      <w:pPr>
        <w:spacing w:line="276" w:lineRule="auto"/>
        <w:ind w:firstLine="426"/>
        <w:jc w:val="both"/>
        <w:rPr>
          <w:rFonts w:ascii="Times New Roman" w:hAnsi="Times New Roman" w:cs="Times New Roman"/>
          <w:sz w:val="26"/>
          <w:szCs w:val="26"/>
        </w:rPr>
      </w:pPr>
      <w:r>
        <w:rPr>
          <w:rFonts w:ascii="Times New Roman" w:hAnsi="Times New Roman" w:cs="Times New Roman"/>
          <w:sz w:val="26"/>
          <w:szCs w:val="26"/>
        </w:rPr>
        <w:t>Mai mult decât atâ</w:t>
      </w:r>
      <w:r w:rsidRPr="009705AE">
        <w:rPr>
          <w:rFonts w:ascii="Times New Roman" w:hAnsi="Times New Roman" w:cs="Times New Roman"/>
          <w:sz w:val="26"/>
          <w:szCs w:val="26"/>
        </w:rPr>
        <w:t xml:space="preserve">t, autorul proiectului chiar în nota informativă la proiect, printr-o interpretare eronată, </w:t>
      </w:r>
      <w:r w:rsidRPr="009705AE">
        <w:rPr>
          <w:rFonts w:ascii="Times New Roman" w:hAnsi="Times New Roman" w:cs="Times New Roman"/>
          <w:sz w:val="26"/>
          <w:szCs w:val="26"/>
          <w:u w:val="single"/>
        </w:rPr>
        <w:t>afirmă și declară deschis acest lucru</w:t>
      </w:r>
      <w:r w:rsidRPr="009705AE">
        <w:rPr>
          <w:rFonts w:ascii="Times New Roman" w:hAnsi="Times New Roman" w:cs="Times New Roman"/>
          <w:sz w:val="26"/>
          <w:szCs w:val="26"/>
        </w:rPr>
        <w:t>: „A</w:t>
      </w:r>
      <w:r>
        <w:rPr>
          <w:rFonts w:ascii="Times New Roman" w:hAnsi="Times New Roman" w:cs="Times New Roman"/>
          <w:sz w:val="26"/>
          <w:szCs w:val="26"/>
        </w:rPr>
        <w:t>vând în vedere prevederile art.</w:t>
      </w:r>
      <w:r w:rsidRPr="009705AE">
        <w:rPr>
          <w:rFonts w:ascii="Times New Roman" w:hAnsi="Times New Roman" w:cs="Times New Roman"/>
          <w:sz w:val="26"/>
          <w:szCs w:val="26"/>
        </w:rPr>
        <w:t xml:space="preserve">75 din Constituţia Republicii Moldova, </w:t>
      </w:r>
      <w:r w:rsidRPr="009705AE">
        <w:rPr>
          <w:rFonts w:ascii="Times New Roman" w:hAnsi="Times New Roman" w:cs="Times New Roman"/>
          <w:i/>
          <w:sz w:val="26"/>
          <w:szCs w:val="26"/>
        </w:rPr>
        <w:t>posibilitatea de a iniţia orice tip de referendum</w:t>
      </w:r>
      <w:r w:rsidRPr="009705AE">
        <w:rPr>
          <w:rFonts w:ascii="Times New Roman" w:hAnsi="Times New Roman" w:cs="Times New Roman"/>
          <w:sz w:val="26"/>
          <w:szCs w:val="26"/>
        </w:rPr>
        <w:t xml:space="preserve"> prevăzut de art. 154 din Codul electoral </w:t>
      </w:r>
      <w:r w:rsidRPr="009705AE">
        <w:rPr>
          <w:rFonts w:ascii="Times New Roman" w:hAnsi="Times New Roman" w:cs="Times New Roman"/>
          <w:b/>
          <w:sz w:val="26"/>
          <w:szCs w:val="26"/>
        </w:rPr>
        <w:t>aparţine doar Parlamentului</w:t>
      </w:r>
      <w:r w:rsidRPr="009705AE">
        <w:rPr>
          <w:rFonts w:ascii="Times New Roman" w:hAnsi="Times New Roman" w:cs="Times New Roman"/>
          <w:sz w:val="26"/>
          <w:szCs w:val="26"/>
        </w:rPr>
        <w: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În acest context, este de menționat că art.141 din Legea Supremă dispune că revizuirea Constituției poate fi inițiată de următorii subiecți (a) un număr de cel puţin 200 mii de cetăţeni, cu respectarea condițiilor imperative; (b) un număr de cel puţin 1/3 de deputaţi în Parlament; și (c) Guvern.</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Respectiv, odată ce 1/3 </w:t>
      </w:r>
      <w:proofErr w:type="spellStart"/>
      <w:r w:rsidRPr="009705AE">
        <w:rPr>
          <w:rFonts w:ascii="Times New Roman" w:hAnsi="Times New Roman" w:cs="Times New Roman"/>
          <w:sz w:val="26"/>
          <w:szCs w:val="26"/>
        </w:rPr>
        <w:t>d</w:t>
      </w:r>
      <w:r>
        <w:rPr>
          <w:rFonts w:ascii="Times New Roman" w:hAnsi="Times New Roman" w:cs="Times New Roman"/>
          <w:sz w:val="26"/>
          <w:szCs w:val="26"/>
        </w:rPr>
        <w:t>intre</w:t>
      </w:r>
      <w:r w:rsidRPr="009705AE">
        <w:rPr>
          <w:rFonts w:ascii="Times New Roman" w:hAnsi="Times New Roman" w:cs="Times New Roman"/>
          <w:sz w:val="26"/>
          <w:szCs w:val="26"/>
        </w:rPr>
        <w:t>e</w:t>
      </w:r>
      <w:proofErr w:type="spellEnd"/>
      <w:r w:rsidRPr="009705AE">
        <w:rPr>
          <w:rFonts w:ascii="Times New Roman" w:hAnsi="Times New Roman" w:cs="Times New Roman"/>
          <w:sz w:val="26"/>
          <w:szCs w:val="26"/>
        </w:rPr>
        <w:t xml:space="preserve"> deputați au dreptul stabilit de Legea fundamentală de a iniția referendumul constituțional, atunci este absolut logic că acest subiect poate avea suplimentar și dreptul de a iniția referendumuri legislative și consultative.</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lastRenderedPageBreak/>
        <w:t>În continuare, observăm că în situația în care Guvernul este emanația unei majorități parlamentare, este firesc ca acest subiect să aibă doar dreptul de a iniția referendumuri consultative, deoarece inițierea unui referendum constituțional va putea fi realizată de către Guvern prin intermediul majorității parlamentare, al cărui exponent este.</w:t>
      </w:r>
    </w:p>
    <w:p w:rsidR="00DA00C2" w:rsidRDefault="00DA00C2" w:rsidP="00DA00C2">
      <w:pPr>
        <w:spacing w:line="276" w:lineRule="auto"/>
        <w:ind w:firstLine="426"/>
        <w:jc w:val="both"/>
        <w:rPr>
          <w:rFonts w:ascii="Times New Roman" w:eastAsia="Times New Roman" w:hAnsi="Times New Roman"/>
          <w:sz w:val="26"/>
          <w:szCs w:val="28"/>
        </w:rPr>
      </w:pPr>
      <w:r w:rsidRPr="009705AE">
        <w:rPr>
          <w:rFonts w:ascii="Times New Roman" w:hAnsi="Times New Roman" w:cs="Times New Roman"/>
          <w:sz w:val="26"/>
          <w:szCs w:val="26"/>
        </w:rPr>
        <w:t>În această ordine de idei, prin definiție</w:t>
      </w:r>
      <w:r>
        <w:rPr>
          <w:rFonts w:ascii="Times New Roman" w:hAnsi="Times New Roman" w:cs="Times New Roman"/>
          <w:sz w:val="26"/>
          <w:szCs w:val="26"/>
        </w:rPr>
        <w:t>,</w:t>
      </w:r>
      <w:r w:rsidRPr="009705AE">
        <w:rPr>
          <w:rFonts w:ascii="Times New Roman" w:hAnsi="Times New Roman" w:cs="Times New Roman"/>
          <w:sz w:val="26"/>
          <w:szCs w:val="26"/>
        </w:rPr>
        <w:t xml:space="preserve"> este inadmisibil faptul că subiectul constituțional abilitat cu dreptul de a iniția referendumuri constituționale – 200 mii de cetățeni, să fie privat de dreptul de a iniția referendumuri legislative și consultative. Or, în condițiile în care poporul este unicul deţinător al suveranităţii naţionale și voinţa poporului constituie baza puterii de stat, </w:t>
      </w:r>
      <w:r w:rsidRPr="009705AE">
        <w:rPr>
          <w:rFonts w:ascii="Times New Roman" w:hAnsi="Times New Roman" w:cs="Times New Roman"/>
          <w:i/>
          <w:sz w:val="26"/>
          <w:szCs w:val="26"/>
        </w:rPr>
        <w:t>excluderea prin lege a acestuia din categoria subiecților ce au dreptul de a iniția orice tip de referendumuri</w:t>
      </w:r>
      <w:r>
        <w:rPr>
          <w:rFonts w:ascii="Times New Roman" w:hAnsi="Times New Roman" w:cs="Times New Roman"/>
          <w:sz w:val="26"/>
          <w:szCs w:val="26"/>
        </w:rPr>
        <w:t>, nu este altceva decâ</w:t>
      </w:r>
      <w:r w:rsidRPr="009705AE">
        <w:rPr>
          <w:rFonts w:ascii="Times New Roman" w:hAnsi="Times New Roman" w:cs="Times New Roman"/>
          <w:sz w:val="26"/>
          <w:szCs w:val="26"/>
        </w:rPr>
        <w:t xml:space="preserve">t </w:t>
      </w:r>
      <w:r w:rsidRPr="009705AE">
        <w:rPr>
          <w:rFonts w:ascii="Times New Roman" w:hAnsi="Times New Roman" w:cs="Times New Roman"/>
          <w:sz w:val="26"/>
          <w:szCs w:val="26"/>
          <w:u w:val="single"/>
        </w:rPr>
        <w:t>încălcarea principiilor constituționale</w:t>
      </w:r>
      <w:r w:rsidRPr="009705AE">
        <w:rPr>
          <w:rFonts w:ascii="Times New Roman" w:hAnsi="Times New Roman" w:cs="Times New Roman"/>
          <w:sz w:val="26"/>
          <w:szCs w:val="26"/>
        </w:rPr>
        <w:t xml:space="preserve"> ale statului de drept, precum și a suveranității naționale, </w:t>
      </w:r>
      <w:r w:rsidRPr="009705AE">
        <w:rPr>
          <w:rFonts w:ascii="Times New Roman" w:eastAsia="Times New Roman" w:hAnsi="Times New Roman"/>
          <w:sz w:val="26"/>
          <w:szCs w:val="28"/>
        </w:rPr>
        <w:t>dreptului la vot și a dreptului la administrare.</w:t>
      </w:r>
    </w:p>
    <w:p w:rsidR="00DA00C2" w:rsidRPr="009705AE" w:rsidRDefault="00DA00C2" w:rsidP="00DA00C2">
      <w:pPr>
        <w:spacing w:line="276" w:lineRule="auto"/>
        <w:ind w:firstLine="426"/>
        <w:jc w:val="both"/>
        <w:rPr>
          <w:rFonts w:ascii="Times New Roman" w:eastAsia="Times New Roman" w:hAnsi="Times New Roman"/>
          <w:sz w:val="26"/>
          <w:szCs w:val="28"/>
        </w:rPr>
      </w:pPr>
      <w:r w:rsidRPr="009705AE">
        <w:rPr>
          <w:rFonts w:ascii="Times New Roman" w:eastAsia="Times New Roman" w:hAnsi="Times New Roman"/>
          <w:sz w:val="26"/>
          <w:szCs w:val="28"/>
        </w:rPr>
        <w:t>Altfel spus, soluția legislativă propusă de proiectul de</w:t>
      </w:r>
      <w:r>
        <w:rPr>
          <w:rFonts w:ascii="Times New Roman" w:eastAsia="Times New Roman" w:hAnsi="Times New Roman"/>
          <w:sz w:val="26"/>
          <w:szCs w:val="28"/>
        </w:rPr>
        <w:t xml:space="preserve"> lege nu reprezintă altceva decâ</w:t>
      </w:r>
      <w:r w:rsidRPr="009705AE">
        <w:rPr>
          <w:rFonts w:ascii="Times New Roman" w:eastAsia="Times New Roman" w:hAnsi="Times New Roman"/>
          <w:sz w:val="26"/>
          <w:szCs w:val="28"/>
        </w:rPr>
        <w:t>t un nihilism juridic și o execuție politică a drepturilor suverane ale poporului de către actuala guvernare.</w:t>
      </w:r>
    </w:p>
    <w:p w:rsidR="00DA00C2" w:rsidRPr="009705AE" w:rsidRDefault="00DA00C2" w:rsidP="00DA00C2">
      <w:pPr>
        <w:spacing w:line="276" w:lineRule="auto"/>
        <w:ind w:firstLine="426"/>
        <w:jc w:val="both"/>
        <w:rPr>
          <w:rFonts w:ascii="Times New Roman" w:hAnsi="Times New Roman" w:cs="Times New Roman"/>
          <w:sz w:val="26"/>
          <w:szCs w:val="26"/>
        </w:rPr>
      </w:pPr>
      <w:r>
        <w:rPr>
          <w:rFonts w:ascii="Times New Roman" w:eastAsia="Times New Roman" w:hAnsi="Times New Roman"/>
          <w:sz w:val="26"/>
          <w:szCs w:val="28"/>
        </w:rPr>
        <w:t>M</w:t>
      </w:r>
      <w:r w:rsidRPr="009705AE">
        <w:rPr>
          <w:rFonts w:ascii="Times New Roman" w:eastAsia="Times New Roman" w:hAnsi="Times New Roman"/>
          <w:sz w:val="26"/>
          <w:szCs w:val="28"/>
        </w:rPr>
        <w:t>ai este necesar de menționat și de anticipat, precum că nu este exclus că vor fi persoane ce vor împărtăși poziția autorului și vor afirma că în conținutul normele acestui proiect nu există riscuri ce ar afecta democrația participativă, deoarece norma de la art.155 alin.(1) lit.</w:t>
      </w:r>
      <w:r>
        <w:rPr>
          <w:rFonts w:ascii="Times New Roman" w:eastAsia="Times New Roman" w:hAnsi="Times New Roman"/>
          <w:sz w:val="26"/>
          <w:szCs w:val="28"/>
        </w:rPr>
        <w:t xml:space="preserve"> a) din Codul Electoral rămâ</w:t>
      </w:r>
      <w:r w:rsidRPr="009705AE">
        <w:rPr>
          <w:rFonts w:ascii="Times New Roman" w:eastAsia="Times New Roman" w:hAnsi="Times New Roman"/>
          <w:sz w:val="26"/>
          <w:szCs w:val="28"/>
        </w:rPr>
        <w:t>ne neatinsă, iar ace</w:t>
      </w:r>
      <w:r>
        <w:rPr>
          <w:rFonts w:ascii="Times New Roman" w:eastAsia="Times New Roman" w:hAnsi="Times New Roman"/>
          <w:sz w:val="26"/>
          <w:szCs w:val="28"/>
        </w:rPr>
        <w:t>a</w:t>
      </w:r>
      <w:r w:rsidRPr="009705AE">
        <w:rPr>
          <w:rFonts w:ascii="Times New Roman" w:eastAsia="Times New Roman" w:hAnsi="Times New Roman"/>
          <w:sz w:val="26"/>
          <w:szCs w:val="28"/>
        </w:rPr>
        <w:t>sta prevede că „</w:t>
      </w:r>
      <w:r w:rsidRPr="009705AE">
        <w:rPr>
          <w:rFonts w:ascii="Times New Roman" w:eastAsia="Times New Roman" w:hAnsi="Times New Roman"/>
          <w:i/>
          <w:sz w:val="26"/>
          <w:szCs w:val="28"/>
        </w:rPr>
        <w:t>Referendumul republican poate fi iniţiat de: a) un număr de cel puţin 200000 de cetăţeni ai Republicii Moldova cu drept de vot</w:t>
      </w:r>
      <w:r w:rsidRPr="009705AE">
        <w:rPr>
          <w:rFonts w:ascii="Times New Roman" w:eastAsia="Times New Roman" w:hAnsi="Times New Roman"/>
          <w:sz w:val="26"/>
          <w:szCs w:val="28"/>
        </w:rPr>
        <w:t>. În cazul referendumului constituţional, se aplică prevederile art.141 alin.(1) lit.</w:t>
      </w:r>
      <w:r>
        <w:rPr>
          <w:rFonts w:ascii="Times New Roman" w:eastAsia="Times New Roman" w:hAnsi="Times New Roman"/>
          <w:sz w:val="26"/>
          <w:szCs w:val="28"/>
        </w:rPr>
        <w:t xml:space="preserve"> </w:t>
      </w:r>
      <w:r w:rsidRPr="009705AE">
        <w:rPr>
          <w:rFonts w:ascii="Times New Roman" w:eastAsia="Times New Roman" w:hAnsi="Times New Roman"/>
          <w:sz w:val="26"/>
          <w:szCs w:val="28"/>
        </w:rPr>
        <w:t xml:space="preserve">a) din Constituţie.” </w:t>
      </w:r>
      <w:r w:rsidRPr="009705AE">
        <w:rPr>
          <w:rFonts w:ascii="Times New Roman" w:hAnsi="Times New Roman" w:cs="Times New Roman"/>
          <w:sz w:val="26"/>
          <w:szCs w:val="26"/>
        </w:rPr>
        <w:t xml:space="preserve">Astfel, chiar și dacă alin.(2) al art.155 </w:t>
      </w:r>
      <w:r>
        <w:rPr>
          <w:rFonts w:ascii="Times New Roman" w:hAnsi="Times New Roman" w:cs="Times New Roman"/>
          <w:sz w:val="26"/>
          <w:szCs w:val="26"/>
        </w:rPr>
        <w:t xml:space="preserve">din Codul Electoral </w:t>
      </w:r>
      <w:r w:rsidRPr="009705AE">
        <w:rPr>
          <w:rFonts w:ascii="Times New Roman" w:hAnsi="Times New Roman" w:cs="Times New Roman"/>
          <w:sz w:val="26"/>
          <w:szCs w:val="26"/>
        </w:rPr>
        <w:t>va avea textul „</w:t>
      </w:r>
      <w:r w:rsidRPr="009705AE">
        <w:rPr>
          <w:rFonts w:ascii="Times New Roman" w:hAnsi="Times New Roman" w:cs="Times New Roman"/>
          <w:i/>
          <w:sz w:val="26"/>
          <w:szCs w:val="26"/>
        </w:rPr>
        <w:t>Subiecţii menţionaţi la alin.(1) lit. b) pot iniţia orice tip de referendum prevăzut la art.154</w:t>
      </w:r>
      <w:r w:rsidRPr="009705AE">
        <w:rPr>
          <w:rFonts w:ascii="Times New Roman" w:hAnsi="Times New Roman" w:cs="Times New Roman"/>
          <w:sz w:val="26"/>
          <w:szCs w:val="26"/>
        </w:rPr>
        <w:t xml:space="preserve">”, </w:t>
      </w:r>
      <w:r>
        <w:rPr>
          <w:rFonts w:ascii="Times New Roman" w:hAnsi="Times New Roman" w:cs="Times New Roman"/>
          <w:sz w:val="26"/>
          <w:szCs w:val="26"/>
        </w:rPr>
        <w:t xml:space="preserve">anticipăm că </w:t>
      </w:r>
      <w:r w:rsidRPr="009705AE">
        <w:rPr>
          <w:rFonts w:ascii="Times New Roman" w:hAnsi="Times New Roman" w:cs="Times New Roman"/>
          <w:sz w:val="26"/>
          <w:szCs w:val="26"/>
        </w:rPr>
        <w:t xml:space="preserve">în opinia unora această formula nu </w:t>
      </w:r>
      <w:r>
        <w:rPr>
          <w:rFonts w:ascii="Times New Roman" w:hAnsi="Times New Roman" w:cs="Times New Roman"/>
          <w:sz w:val="26"/>
          <w:szCs w:val="26"/>
        </w:rPr>
        <w:t>va reprezenta r</w:t>
      </w:r>
      <w:r w:rsidRPr="009705AE">
        <w:rPr>
          <w:rFonts w:ascii="Times New Roman" w:hAnsi="Times New Roman" w:cs="Times New Roman"/>
          <w:sz w:val="26"/>
          <w:szCs w:val="26"/>
        </w:rPr>
        <w:t>i</w:t>
      </w:r>
      <w:r>
        <w:rPr>
          <w:rFonts w:ascii="Times New Roman" w:hAnsi="Times New Roman" w:cs="Times New Roman"/>
          <w:sz w:val="26"/>
          <w:szCs w:val="26"/>
        </w:rPr>
        <w:t>s</w:t>
      </w:r>
      <w:r w:rsidRPr="009705AE">
        <w:rPr>
          <w:rFonts w:ascii="Times New Roman" w:hAnsi="Times New Roman" w:cs="Times New Roman"/>
          <w:sz w:val="26"/>
          <w:szCs w:val="26"/>
        </w:rPr>
        <w:t>curi de aplicabilitate în practică.</w:t>
      </w:r>
    </w:p>
    <w:p w:rsidR="00DA00C2"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Nu putem să fim de acord că adoptarea normelor propuse de autor nu prezintă riscuri, deoarece putem deja să </w:t>
      </w:r>
      <w:r>
        <w:rPr>
          <w:rFonts w:ascii="Times New Roman" w:hAnsi="Times New Roman" w:cs="Times New Roman"/>
          <w:sz w:val="26"/>
          <w:szCs w:val="26"/>
        </w:rPr>
        <w:t>vizualizăm</w:t>
      </w:r>
      <w:r w:rsidRPr="009705AE">
        <w:rPr>
          <w:rFonts w:ascii="Times New Roman" w:hAnsi="Times New Roman" w:cs="Times New Roman"/>
          <w:sz w:val="26"/>
          <w:szCs w:val="26"/>
        </w:rPr>
        <w:t xml:space="preserve"> reacția ulterioară și alegațiile autorităților în cazul unui referendum legislativ iniția</w:t>
      </w:r>
      <w:r>
        <w:rPr>
          <w:rFonts w:ascii="Times New Roman" w:hAnsi="Times New Roman" w:cs="Times New Roman"/>
          <w:sz w:val="26"/>
          <w:szCs w:val="26"/>
        </w:rPr>
        <w:t>t de cetățeni. Iată un exemplu ce ar putea spune autoritățile mai târziu: „C</w:t>
      </w:r>
      <w:r w:rsidRPr="009705AE">
        <w:rPr>
          <w:rFonts w:ascii="Times New Roman" w:hAnsi="Times New Roman" w:cs="Times New Roman"/>
          <w:sz w:val="26"/>
          <w:szCs w:val="26"/>
        </w:rPr>
        <w:t xml:space="preserve">u toate că la </w:t>
      </w:r>
      <w:r w:rsidRPr="00D60A30">
        <w:rPr>
          <w:rFonts w:ascii="Times New Roman" w:hAnsi="Times New Roman" w:cs="Times New Roman"/>
          <w:i/>
          <w:sz w:val="26"/>
          <w:szCs w:val="26"/>
        </w:rPr>
        <w:t>art.155 alin.(1) lit.</w:t>
      </w:r>
      <w:r>
        <w:rPr>
          <w:rFonts w:ascii="Times New Roman" w:hAnsi="Times New Roman" w:cs="Times New Roman"/>
          <w:i/>
          <w:sz w:val="26"/>
          <w:szCs w:val="26"/>
        </w:rPr>
        <w:t xml:space="preserve"> </w:t>
      </w:r>
      <w:r w:rsidRPr="00D60A30">
        <w:rPr>
          <w:rFonts w:ascii="Times New Roman" w:hAnsi="Times New Roman" w:cs="Times New Roman"/>
          <w:i/>
          <w:sz w:val="26"/>
          <w:szCs w:val="26"/>
        </w:rPr>
        <w:t>a)</w:t>
      </w:r>
      <w:r w:rsidRPr="009705AE">
        <w:rPr>
          <w:rFonts w:ascii="Times New Roman" w:hAnsi="Times New Roman" w:cs="Times New Roman"/>
          <w:sz w:val="26"/>
          <w:szCs w:val="26"/>
        </w:rPr>
        <w:t xml:space="preserve"> din Codul Electoral este prevăzut dreptul cetățenilor de a iniția un referendum republican (legislativ), </w:t>
      </w:r>
      <w:r>
        <w:rPr>
          <w:rFonts w:ascii="Times New Roman" w:hAnsi="Times New Roman" w:cs="Times New Roman"/>
          <w:sz w:val="26"/>
          <w:szCs w:val="26"/>
        </w:rPr>
        <w:t>prevederea</w:t>
      </w:r>
      <w:r w:rsidRPr="009705AE">
        <w:rPr>
          <w:rFonts w:ascii="Times New Roman" w:hAnsi="Times New Roman" w:cs="Times New Roman"/>
          <w:sz w:val="26"/>
          <w:szCs w:val="26"/>
        </w:rPr>
        <w:t xml:space="preserve"> nouă</w:t>
      </w:r>
      <w:r>
        <w:rPr>
          <w:rFonts w:ascii="Times New Roman" w:hAnsi="Times New Roman" w:cs="Times New Roman"/>
          <w:sz w:val="26"/>
          <w:szCs w:val="26"/>
        </w:rPr>
        <w:t xml:space="preserve"> de la </w:t>
      </w:r>
      <w:r w:rsidRPr="00D60A30">
        <w:rPr>
          <w:rFonts w:ascii="Times New Roman" w:hAnsi="Times New Roman" w:cs="Times New Roman"/>
          <w:i/>
          <w:sz w:val="26"/>
          <w:szCs w:val="26"/>
        </w:rPr>
        <w:t>art.155 alin.(2)</w:t>
      </w:r>
      <w:r>
        <w:rPr>
          <w:rFonts w:ascii="Times New Roman" w:hAnsi="Times New Roman" w:cs="Times New Roman"/>
          <w:sz w:val="26"/>
          <w:szCs w:val="26"/>
        </w:rPr>
        <w:t xml:space="preserve"> din Codul Electoral </w:t>
      </w:r>
      <w:r w:rsidRPr="00D60A30">
        <w:rPr>
          <w:rFonts w:ascii="Times New Roman" w:hAnsi="Times New Roman" w:cs="Times New Roman"/>
          <w:b/>
          <w:sz w:val="26"/>
          <w:szCs w:val="26"/>
        </w:rPr>
        <w:t>are prioritate la aplicare</w:t>
      </w:r>
      <w:r>
        <w:rPr>
          <w:rFonts w:ascii="Times New Roman" w:hAnsi="Times New Roman" w:cs="Times New Roman"/>
          <w:sz w:val="26"/>
          <w:szCs w:val="26"/>
        </w:rPr>
        <w:t xml:space="preserve"> deoarece, </w:t>
      </w:r>
      <w:r w:rsidRPr="00D60A30">
        <w:rPr>
          <w:rFonts w:ascii="Times New Roman" w:hAnsi="Times New Roman" w:cs="Times New Roman"/>
          <w:i/>
          <w:sz w:val="26"/>
          <w:szCs w:val="26"/>
        </w:rPr>
        <w:t xml:space="preserve">în cazul în care între </w:t>
      </w:r>
      <w:r w:rsidRPr="00D60A30">
        <w:rPr>
          <w:rFonts w:ascii="Times New Roman" w:hAnsi="Times New Roman" w:cs="Times New Roman"/>
          <w:i/>
          <w:sz w:val="26"/>
          <w:szCs w:val="26"/>
        </w:rPr>
        <w:lastRenderedPageBreak/>
        <w:t>două norme cu aceeaşi forţă juridică promovează soluţii diferite asupra aceluiaşi obiect al reglementării</w:t>
      </w:r>
      <w:r w:rsidRPr="009705AE">
        <w:rPr>
          <w:rFonts w:ascii="Times New Roman" w:hAnsi="Times New Roman" w:cs="Times New Roman"/>
          <w:sz w:val="26"/>
          <w:szCs w:val="26"/>
        </w:rPr>
        <w:t xml:space="preserve">, </w:t>
      </w:r>
      <w:r w:rsidRPr="00D60A30">
        <w:rPr>
          <w:rFonts w:ascii="Times New Roman" w:hAnsi="Times New Roman" w:cs="Times New Roman"/>
          <w:sz w:val="26"/>
          <w:szCs w:val="26"/>
          <w:u w:val="single"/>
        </w:rPr>
        <w:t>se aplică prevederile actului posterior</w:t>
      </w:r>
      <w:r w:rsidRPr="009705AE">
        <w:rPr>
          <w:rFonts w:ascii="Times New Roman" w:hAnsi="Times New Roman" w:cs="Times New Roman"/>
          <w:sz w:val="26"/>
          <w:szCs w:val="26"/>
        </w:rPr>
        <w:t>.</w:t>
      </w:r>
      <w:r>
        <w:rPr>
          <w:rFonts w:ascii="Times New Roman" w:hAnsi="Times New Roman" w:cs="Times New Roman"/>
          <w:sz w:val="26"/>
          <w:szCs w:val="26"/>
        </w:rPr>
        <w:t>”</w:t>
      </w:r>
    </w:p>
    <w:p w:rsidR="00DA00C2" w:rsidRPr="002B6A7E" w:rsidRDefault="00DA00C2" w:rsidP="00DA00C2">
      <w:pPr>
        <w:spacing w:line="276" w:lineRule="auto"/>
        <w:ind w:firstLine="426"/>
        <w:jc w:val="both"/>
        <w:rPr>
          <w:rFonts w:ascii="Times New Roman" w:hAnsi="Times New Roman" w:cs="Times New Roman"/>
          <w:sz w:val="26"/>
          <w:szCs w:val="26"/>
        </w:rPr>
      </w:pPr>
      <w:r w:rsidRPr="002B6A7E">
        <w:rPr>
          <w:rFonts w:ascii="Times New Roman" w:hAnsi="Times New Roman" w:cs="Times New Roman"/>
          <w:sz w:val="26"/>
          <w:szCs w:val="26"/>
        </w:rPr>
        <w:t>Mai mult</w:t>
      </w:r>
      <w:r>
        <w:rPr>
          <w:rFonts w:ascii="Times New Roman" w:hAnsi="Times New Roman" w:cs="Times New Roman"/>
          <w:sz w:val="26"/>
          <w:szCs w:val="26"/>
        </w:rPr>
        <w:t xml:space="preserve"> decât atât</w:t>
      </w:r>
      <w:r w:rsidRPr="002B6A7E">
        <w:rPr>
          <w:rFonts w:ascii="Times New Roman" w:hAnsi="Times New Roman" w:cs="Times New Roman"/>
          <w:sz w:val="26"/>
          <w:szCs w:val="26"/>
        </w:rPr>
        <w:t>,</w:t>
      </w:r>
      <w:r>
        <w:rPr>
          <w:rFonts w:ascii="Times New Roman" w:hAnsi="Times New Roman" w:cs="Times New Roman"/>
          <w:sz w:val="26"/>
          <w:szCs w:val="26"/>
        </w:rPr>
        <w:t xml:space="preserve"> este de menționat că Comisia Electorală Centrală prin Hotărârea nr.1344/2018 </w:t>
      </w:r>
      <w:r w:rsidRPr="002B6A7E">
        <w:rPr>
          <w:rFonts w:ascii="Times New Roman" w:hAnsi="Times New Roman" w:cs="Times New Roman"/>
          <w:sz w:val="26"/>
          <w:szCs w:val="26"/>
        </w:rPr>
        <w:t>cu privire la cererea de înregistrare a grupului de iniţiativă pentru desfăşurarea referendumului republican legislativ</w:t>
      </w:r>
      <w:r>
        <w:rPr>
          <w:rStyle w:val="Referinnotdesubsol"/>
          <w:rFonts w:ascii="Times New Roman" w:hAnsi="Times New Roman" w:cs="Times New Roman"/>
          <w:sz w:val="26"/>
          <w:szCs w:val="26"/>
        </w:rPr>
        <w:footnoteReference w:id="4"/>
      </w:r>
      <w:r>
        <w:rPr>
          <w:rFonts w:ascii="Times New Roman" w:hAnsi="Times New Roman" w:cs="Times New Roman"/>
          <w:sz w:val="26"/>
          <w:szCs w:val="26"/>
        </w:rPr>
        <w:t xml:space="preserve">, deja s-a expus expres care este poziția autorității electorale în asemenea situații. Astfel, CEC în hotărârea nominalizată a folosit pentru refuzul de a înregistra grupul de inițiativă </w:t>
      </w:r>
      <w:r w:rsidRPr="002B6A7E">
        <w:rPr>
          <w:rFonts w:ascii="Times New Roman" w:hAnsi="Times New Roman" w:cs="Times New Roman"/>
          <w:sz w:val="26"/>
          <w:szCs w:val="26"/>
        </w:rPr>
        <w:t xml:space="preserve"> </w:t>
      </w:r>
      <w:r>
        <w:rPr>
          <w:rFonts w:ascii="Times New Roman" w:hAnsi="Times New Roman" w:cs="Times New Roman"/>
          <w:sz w:val="26"/>
          <w:szCs w:val="26"/>
        </w:rPr>
        <w:t>următorul argument: „</w:t>
      </w:r>
      <w:r w:rsidRPr="002B6A7E">
        <w:rPr>
          <w:rFonts w:ascii="Times New Roman" w:hAnsi="Times New Roman" w:cs="Times New Roman"/>
          <w:i/>
          <w:sz w:val="26"/>
          <w:szCs w:val="26"/>
        </w:rPr>
        <w:t>Incertitudinea asupra dreptului cetățenilor de a iniția un referendum legislativ</w:t>
      </w:r>
      <w:r w:rsidRPr="002B6A7E">
        <w:rPr>
          <w:rFonts w:ascii="Times New Roman" w:hAnsi="Times New Roman" w:cs="Times New Roman"/>
          <w:sz w:val="26"/>
          <w:szCs w:val="26"/>
        </w:rPr>
        <w:t xml:space="preserve"> </w:t>
      </w:r>
      <w:r w:rsidRPr="002B6A7E">
        <w:rPr>
          <w:rFonts w:ascii="Times New Roman" w:hAnsi="Times New Roman" w:cs="Times New Roman"/>
          <w:b/>
          <w:sz w:val="26"/>
          <w:szCs w:val="26"/>
        </w:rPr>
        <w:t>decurge</w:t>
      </w:r>
      <w:r>
        <w:rPr>
          <w:rFonts w:ascii="Times New Roman" w:hAnsi="Times New Roman" w:cs="Times New Roman"/>
          <w:sz w:val="26"/>
          <w:szCs w:val="26"/>
        </w:rPr>
        <w:t xml:space="preserve"> și din pct.</w:t>
      </w:r>
      <w:r w:rsidRPr="002B6A7E">
        <w:rPr>
          <w:rFonts w:ascii="Times New Roman" w:hAnsi="Times New Roman" w:cs="Times New Roman"/>
          <w:sz w:val="26"/>
          <w:szCs w:val="26"/>
        </w:rPr>
        <w:t>2 din Hotăr</w:t>
      </w:r>
      <w:r>
        <w:rPr>
          <w:rFonts w:ascii="Times New Roman" w:hAnsi="Times New Roman" w:cs="Times New Roman"/>
          <w:sz w:val="26"/>
          <w:szCs w:val="26"/>
        </w:rPr>
        <w:t>ârea Curții Constituționale nr.</w:t>
      </w:r>
      <w:r w:rsidRPr="002B6A7E">
        <w:rPr>
          <w:rFonts w:ascii="Times New Roman" w:hAnsi="Times New Roman" w:cs="Times New Roman"/>
          <w:sz w:val="26"/>
          <w:szCs w:val="26"/>
        </w:rPr>
        <w:t>24</w:t>
      </w:r>
      <w:r>
        <w:rPr>
          <w:rFonts w:ascii="Times New Roman" w:hAnsi="Times New Roman" w:cs="Times New Roman"/>
          <w:sz w:val="26"/>
          <w:szCs w:val="26"/>
        </w:rPr>
        <w:t>/2017</w:t>
      </w:r>
      <w:r w:rsidRPr="002B6A7E">
        <w:rPr>
          <w:rFonts w:ascii="Times New Roman" w:hAnsi="Times New Roman" w:cs="Times New Roman"/>
          <w:sz w:val="26"/>
          <w:szCs w:val="26"/>
        </w:rPr>
        <w:t xml:space="preserve">, prin care s-a declarat neconstituțional alin. (2) al </w:t>
      </w:r>
      <w:r>
        <w:rPr>
          <w:rFonts w:ascii="Times New Roman" w:hAnsi="Times New Roman" w:cs="Times New Roman"/>
          <w:sz w:val="26"/>
          <w:szCs w:val="26"/>
        </w:rPr>
        <w:t>art.</w:t>
      </w:r>
      <w:r w:rsidRPr="002B6A7E">
        <w:rPr>
          <w:rFonts w:ascii="Times New Roman" w:hAnsi="Times New Roman" w:cs="Times New Roman"/>
          <w:sz w:val="26"/>
          <w:szCs w:val="26"/>
        </w:rPr>
        <w:t>144 din Codul electoral (</w:t>
      </w:r>
      <w:r>
        <w:rPr>
          <w:rFonts w:ascii="Times New Roman" w:hAnsi="Times New Roman" w:cs="Times New Roman"/>
          <w:sz w:val="26"/>
          <w:szCs w:val="26"/>
        </w:rPr>
        <w:t>actualul</w:t>
      </w:r>
      <w:r w:rsidRPr="002B6A7E">
        <w:rPr>
          <w:rFonts w:ascii="Times New Roman" w:hAnsi="Times New Roman" w:cs="Times New Roman"/>
          <w:sz w:val="26"/>
          <w:szCs w:val="26"/>
        </w:rPr>
        <w:t xml:space="preserve"> art.155)</w:t>
      </w:r>
      <w:r>
        <w:rPr>
          <w:rFonts w:ascii="Times New Roman" w:hAnsi="Times New Roman" w:cs="Times New Roman"/>
          <w:sz w:val="26"/>
          <w:szCs w:val="26"/>
        </w:rPr>
        <w:t xml:space="preserve"> </w:t>
      </w:r>
      <w:r w:rsidRPr="00B26523">
        <w:rPr>
          <w:rFonts w:ascii="Times New Roman" w:hAnsi="Times New Roman" w:cs="Times New Roman"/>
          <w:sz w:val="26"/>
          <w:szCs w:val="26"/>
        </w:rPr>
        <w:t>[…]</w:t>
      </w:r>
      <w:r>
        <w:rPr>
          <w:rFonts w:ascii="Times New Roman" w:hAnsi="Times New Roman" w:cs="Times New Roman"/>
          <w:sz w:val="26"/>
          <w:szCs w:val="26"/>
        </w:rPr>
        <w:t>”.</w:t>
      </w:r>
    </w:p>
    <w:p w:rsidR="00DA00C2" w:rsidRPr="009705AE" w:rsidRDefault="00DA00C2" w:rsidP="00DA00C2">
      <w:pPr>
        <w:spacing w:line="276" w:lineRule="auto"/>
        <w:ind w:firstLine="426"/>
        <w:jc w:val="both"/>
        <w:rPr>
          <w:rFonts w:ascii="Times New Roman" w:hAnsi="Times New Roman" w:cs="Times New Roman"/>
          <w:sz w:val="26"/>
          <w:szCs w:val="26"/>
        </w:rPr>
      </w:pPr>
      <w:r>
        <w:rPr>
          <w:rFonts w:ascii="Times New Roman" w:hAnsi="Times New Roman" w:cs="Times New Roman"/>
          <w:sz w:val="26"/>
          <w:szCs w:val="26"/>
        </w:rPr>
        <w:t>În prezenta speță, relevante sunt concluziile și statuările Curții Constituționale. Spre exemplu, în</w:t>
      </w:r>
      <w:r w:rsidRPr="009705AE">
        <w:rPr>
          <w:rFonts w:ascii="Times New Roman" w:hAnsi="Times New Roman" w:cs="Times New Roman"/>
          <w:sz w:val="26"/>
          <w:szCs w:val="26"/>
        </w:rPr>
        <w:t xml:space="preserve"> Hotărârea nr.8 din 19</w:t>
      </w:r>
      <w:r>
        <w:rPr>
          <w:rFonts w:ascii="Times New Roman" w:hAnsi="Times New Roman" w:cs="Times New Roman"/>
          <w:sz w:val="26"/>
          <w:szCs w:val="26"/>
        </w:rPr>
        <w:t>/</w:t>
      </w:r>
      <w:r w:rsidRPr="009705AE">
        <w:rPr>
          <w:rFonts w:ascii="Times New Roman" w:hAnsi="Times New Roman" w:cs="Times New Roman"/>
          <w:sz w:val="26"/>
          <w:szCs w:val="26"/>
        </w:rPr>
        <w:t>2012</w:t>
      </w:r>
      <w:r>
        <w:rPr>
          <w:rStyle w:val="Referinnotdesubsol"/>
          <w:rFonts w:ascii="Times New Roman" w:hAnsi="Times New Roman" w:cs="Times New Roman"/>
          <w:sz w:val="26"/>
          <w:szCs w:val="26"/>
        </w:rPr>
        <w:footnoteReference w:id="5"/>
      </w:r>
      <w:r w:rsidRPr="009705AE">
        <w:rPr>
          <w:rFonts w:ascii="Times New Roman" w:hAnsi="Times New Roman" w:cs="Times New Roman"/>
          <w:sz w:val="26"/>
          <w:szCs w:val="26"/>
        </w:rPr>
        <w:t>, Curtea Constituțională a reiterat faptul că:</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w:t>
      </w:r>
      <w:r w:rsidRPr="009705AE">
        <w:rPr>
          <w:rFonts w:ascii="Times New Roman" w:hAnsi="Times New Roman" w:cs="Times New Roman"/>
          <w:i/>
          <w:sz w:val="26"/>
          <w:szCs w:val="26"/>
        </w:rPr>
        <w:t>În condiţiile statului de drept</w:t>
      </w:r>
      <w:r w:rsidRPr="009705AE">
        <w:rPr>
          <w:rFonts w:ascii="Times New Roman" w:hAnsi="Times New Roman" w:cs="Times New Roman"/>
          <w:sz w:val="26"/>
          <w:szCs w:val="26"/>
        </w:rPr>
        <w:t xml:space="preserve">, </w:t>
      </w:r>
      <w:r w:rsidRPr="009705AE">
        <w:rPr>
          <w:rFonts w:ascii="Times New Roman" w:hAnsi="Times New Roman" w:cs="Times New Roman"/>
          <w:b/>
          <w:sz w:val="26"/>
          <w:szCs w:val="26"/>
        </w:rPr>
        <w:t>puterea politică aparţine poporului</w:t>
      </w:r>
      <w:r w:rsidRPr="009705AE">
        <w:rPr>
          <w:rFonts w:ascii="Times New Roman" w:hAnsi="Times New Roman" w:cs="Times New Roman"/>
          <w:sz w:val="26"/>
          <w:szCs w:val="26"/>
        </w:rPr>
        <w:t xml:space="preserve">. Dacă primele două elemente definitorii ale statului – teritoriul şi populaţia – au un caracter obiectiv-material, cel de-al treilea element esenţial – </w:t>
      </w:r>
      <w:r w:rsidRPr="009705AE">
        <w:rPr>
          <w:rFonts w:ascii="Times New Roman" w:hAnsi="Times New Roman" w:cs="Times New Roman"/>
          <w:i/>
          <w:sz w:val="26"/>
          <w:szCs w:val="26"/>
        </w:rPr>
        <w:t>suveranitatea naţională</w:t>
      </w:r>
      <w:r w:rsidRPr="009705AE">
        <w:rPr>
          <w:rFonts w:ascii="Times New Roman" w:hAnsi="Times New Roman" w:cs="Times New Roman"/>
          <w:sz w:val="26"/>
          <w:szCs w:val="26"/>
        </w:rPr>
        <w:t xml:space="preserve"> – are un caracter subiectiv-voliţional şi înseamnă că </w:t>
      </w:r>
      <w:r w:rsidRPr="009705AE">
        <w:rPr>
          <w:rFonts w:ascii="Times New Roman" w:hAnsi="Times New Roman" w:cs="Times New Roman"/>
          <w:b/>
          <w:sz w:val="26"/>
          <w:szCs w:val="26"/>
        </w:rPr>
        <w:t>dreptul de comandă aparţine poporului</w:t>
      </w:r>
      <w:r w:rsidRPr="009705AE">
        <w:rPr>
          <w:rFonts w:ascii="Times New Roman" w:hAnsi="Times New Roman" w:cs="Times New Roman"/>
          <w:sz w:val="26"/>
          <w:szCs w:val="26"/>
        </w:rPr>
        <w: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La fel, în jurisprudența constituțională (a se vedea spre exemplu HCC nr.15/2014</w:t>
      </w:r>
      <w:r w:rsidRPr="009705AE">
        <w:rPr>
          <w:rStyle w:val="Referinnotdesubsol"/>
          <w:rFonts w:ascii="Times New Roman" w:hAnsi="Times New Roman" w:cs="Times New Roman"/>
          <w:sz w:val="26"/>
          <w:szCs w:val="26"/>
        </w:rPr>
        <w:footnoteReference w:id="6"/>
      </w:r>
      <w:r w:rsidRPr="009705AE">
        <w:rPr>
          <w:rFonts w:ascii="Times New Roman" w:hAnsi="Times New Roman" w:cs="Times New Roman"/>
          <w:sz w:val="26"/>
          <w:szCs w:val="26"/>
        </w:rPr>
        <w:t>), Înalta Curte de Jurisdicție Constituțională a consfințit și a reiterat consta</w:t>
      </w:r>
      <w:r>
        <w:rPr>
          <w:rFonts w:ascii="Times New Roman" w:hAnsi="Times New Roman" w:cs="Times New Roman"/>
          <w:sz w:val="26"/>
          <w:szCs w:val="26"/>
        </w:rPr>
        <w:t>nt în hotărâ</w:t>
      </w:r>
      <w:r w:rsidRPr="009705AE">
        <w:rPr>
          <w:rFonts w:ascii="Times New Roman" w:hAnsi="Times New Roman" w:cs="Times New Roman"/>
          <w:sz w:val="26"/>
          <w:szCs w:val="26"/>
        </w:rPr>
        <w:t xml:space="preserve">rile / deciziile sale următoarele </w:t>
      </w:r>
      <w:r w:rsidRPr="009705AE">
        <w:rPr>
          <w:rFonts w:ascii="Times New Roman" w:hAnsi="Times New Roman" w:cs="Times New Roman"/>
          <w:i/>
          <w:sz w:val="26"/>
          <w:szCs w:val="26"/>
        </w:rPr>
        <w:t>principii generale</w:t>
      </w:r>
      <w:r w:rsidRPr="009705AE">
        <w:rPr>
          <w:rFonts w:ascii="Times New Roman" w:hAnsi="Times New Roman" w:cs="Times New Roman"/>
          <w:sz w:val="26"/>
          <w:szCs w:val="26"/>
        </w:rPr>
        <w: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 Potrivit articolului 1 alin.(3) din Constituţie, </w:t>
      </w:r>
      <w:r w:rsidRPr="00914179">
        <w:rPr>
          <w:rFonts w:ascii="Times New Roman" w:hAnsi="Times New Roman" w:cs="Times New Roman"/>
          <w:i/>
          <w:sz w:val="26"/>
          <w:szCs w:val="26"/>
        </w:rPr>
        <w:t>Republica Moldova este un stat de drept, democratic</w:t>
      </w:r>
      <w:r w:rsidRPr="009705AE">
        <w:rPr>
          <w:rFonts w:ascii="Times New Roman" w:hAnsi="Times New Roman" w:cs="Times New Roman"/>
          <w:sz w:val="26"/>
          <w:szCs w:val="26"/>
        </w:rPr>
        <w:t xml:space="preserve">, în care demnitatea omului, drepturile şi libertăţile lui, libera dezvoltare a personalităţii umane, dreptatea şi pluralismul politic reprezintă valori supreme şi sunt garantate. </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 Întru dezvoltarea conceptului statului de drept, articolul 2 alin.(1) din Legea Supremă prevede că </w:t>
      </w:r>
      <w:r w:rsidRPr="00914179">
        <w:rPr>
          <w:rFonts w:ascii="Times New Roman" w:hAnsi="Times New Roman" w:cs="Times New Roman"/>
          <w:i/>
          <w:sz w:val="26"/>
          <w:szCs w:val="26"/>
        </w:rPr>
        <w:t>suveranitatea naţională aparţine poporului Republicii Moldova</w:t>
      </w:r>
      <w:r w:rsidRPr="009705AE">
        <w:rPr>
          <w:rFonts w:ascii="Times New Roman" w:hAnsi="Times New Roman" w:cs="Times New Roman"/>
          <w:sz w:val="26"/>
          <w:szCs w:val="26"/>
        </w:rPr>
        <w:t xml:space="preserve">, care </w:t>
      </w:r>
      <w:r w:rsidRPr="00914179">
        <w:rPr>
          <w:rFonts w:ascii="Times New Roman" w:hAnsi="Times New Roman" w:cs="Times New Roman"/>
          <w:b/>
          <w:sz w:val="26"/>
          <w:szCs w:val="26"/>
        </w:rPr>
        <w:t>o exercită în mod direct</w:t>
      </w:r>
      <w:r w:rsidRPr="009705AE">
        <w:rPr>
          <w:rFonts w:ascii="Times New Roman" w:hAnsi="Times New Roman" w:cs="Times New Roman"/>
          <w:sz w:val="26"/>
          <w:szCs w:val="26"/>
        </w:rPr>
        <w:t xml:space="preserve"> şi prin organele sale reprezentative, în formele stabilite de Constituţie.</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lastRenderedPageBreak/>
        <w:t xml:space="preserve">- Curtea relevă că, în sensul </w:t>
      </w:r>
      <w:r>
        <w:rPr>
          <w:rFonts w:ascii="Times New Roman" w:hAnsi="Times New Roman" w:cs="Times New Roman"/>
          <w:sz w:val="26"/>
          <w:szCs w:val="26"/>
        </w:rPr>
        <w:t>art.</w:t>
      </w:r>
      <w:r w:rsidRPr="009705AE">
        <w:rPr>
          <w:rFonts w:ascii="Times New Roman" w:hAnsi="Times New Roman" w:cs="Times New Roman"/>
          <w:sz w:val="26"/>
          <w:szCs w:val="26"/>
        </w:rPr>
        <w:t xml:space="preserve">2 din Constituţie, </w:t>
      </w:r>
      <w:r w:rsidRPr="009705AE">
        <w:rPr>
          <w:rFonts w:ascii="Times New Roman" w:hAnsi="Times New Roman" w:cs="Times New Roman"/>
          <w:i/>
          <w:sz w:val="26"/>
          <w:szCs w:val="26"/>
        </w:rPr>
        <w:t>o democraţie veritabilă</w:t>
      </w:r>
      <w:r w:rsidRPr="009705AE">
        <w:rPr>
          <w:rFonts w:ascii="Times New Roman" w:hAnsi="Times New Roman" w:cs="Times New Roman"/>
          <w:sz w:val="26"/>
          <w:szCs w:val="26"/>
        </w:rPr>
        <w:t xml:space="preserve"> </w:t>
      </w:r>
      <w:r w:rsidRPr="009705AE">
        <w:rPr>
          <w:rFonts w:ascii="Times New Roman" w:hAnsi="Times New Roman" w:cs="Times New Roman"/>
          <w:b/>
          <w:sz w:val="26"/>
          <w:szCs w:val="26"/>
        </w:rPr>
        <w:t>poate fi constituită numai de către popor</w:t>
      </w:r>
      <w:r w:rsidRPr="009705AE">
        <w:rPr>
          <w:rFonts w:ascii="Times New Roman" w:hAnsi="Times New Roman" w:cs="Times New Roman"/>
          <w:sz w:val="26"/>
          <w:szCs w:val="26"/>
        </w:rPr>
        <w:t xml:space="preserve">, </w:t>
      </w:r>
      <w:r w:rsidRPr="009705AE">
        <w:rPr>
          <w:rFonts w:ascii="Times New Roman" w:hAnsi="Times New Roman" w:cs="Times New Roman"/>
          <w:sz w:val="26"/>
          <w:szCs w:val="26"/>
          <w:u w:val="single"/>
        </w:rPr>
        <w:t>prin exercitarea suveranităţii naţionale în mod direct</w:t>
      </w:r>
      <w:r w:rsidRPr="009705AE">
        <w:rPr>
          <w:rFonts w:ascii="Times New Roman" w:hAnsi="Times New Roman" w:cs="Times New Roman"/>
          <w:sz w:val="26"/>
          <w:szCs w:val="26"/>
        </w:rPr>
        <w:t xml:space="preserve">  </w:t>
      </w:r>
      <w:r w:rsidRPr="009705AE">
        <w:rPr>
          <w:rFonts w:ascii="Times New Roman" w:hAnsi="Times New Roman" w:cs="Times New Roman"/>
          <w:b/>
          <w:sz w:val="26"/>
          <w:szCs w:val="26"/>
        </w:rPr>
        <w:t xml:space="preserve">ori </w:t>
      </w:r>
      <w:r w:rsidRPr="009705AE">
        <w:rPr>
          <w:rFonts w:ascii="Times New Roman" w:hAnsi="Times New Roman" w:cs="Times New Roman"/>
          <w:sz w:val="26"/>
          <w:szCs w:val="26"/>
        </w:rPr>
        <w:t xml:space="preserve"> </w:t>
      </w:r>
      <w:r w:rsidRPr="009705AE">
        <w:rPr>
          <w:rFonts w:ascii="Times New Roman" w:hAnsi="Times New Roman" w:cs="Times New Roman"/>
          <w:sz w:val="26"/>
          <w:szCs w:val="26"/>
          <w:u w:val="single"/>
        </w:rPr>
        <w:t>prin intermediul reprezentanţilor săi</w:t>
      </w:r>
      <w:r w:rsidRPr="009705AE">
        <w:rPr>
          <w:rFonts w:ascii="Times New Roman" w:hAnsi="Times New Roman" w:cs="Times New Roman"/>
          <w:sz w:val="26"/>
          <w:szCs w:val="26"/>
        </w:rPr>
        <w:t xml:space="preserve">, aleşi în cadrul unui scrutin democratic. </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 Curtea reiterează că dispoziţiile constituţionale ale articolelor 1 alin.(3) şi 2 alin.(1) urmează a fi corelate cu prevederile </w:t>
      </w:r>
      <w:r>
        <w:rPr>
          <w:rFonts w:ascii="Times New Roman" w:hAnsi="Times New Roman" w:cs="Times New Roman"/>
          <w:sz w:val="26"/>
          <w:szCs w:val="26"/>
        </w:rPr>
        <w:t>art.</w:t>
      </w:r>
      <w:r w:rsidRPr="009705AE">
        <w:rPr>
          <w:rFonts w:ascii="Times New Roman" w:hAnsi="Times New Roman" w:cs="Times New Roman"/>
          <w:sz w:val="26"/>
          <w:szCs w:val="26"/>
        </w:rPr>
        <w:t xml:space="preserve">38 din Legea </w:t>
      </w:r>
      <w:r>
        <w:rPr>
          <w:rFonts w:ascii="Times New Roman" w:hAnsi="Times New Roman" w:cs="Times New Roman"/>
          <w:sz w:val="26"/>
          <w:szCs w:val="26"/>
        </w:rPr>
        <w:t>Supremă</w:t>
      </w:r>
      <w:r w:rsidRPr="009705AE">
        <w:rPr>
          <w:rFonts w:ascii="Times New Roman" w:hAnsi="Times New Roman" w:cs="Times New Roman"/>
          <w:sz w:val="26"/>
          <w:szCs w:val="26"/>
        </w:rPr>
        <w:t xml:space="preserve">, </w:t>
      </w:r>
      <w:r w:rsidRPr="009705AE">
        <w:rPr>
          <w:rFonts w:ascii="Times New Roman" w:hAnsi="Times New Roman" w:cs="Times New Roman"/>
          <w:i/>
          <w:sz w:val="26"/>
          <w:szCs w:val="26"/>
        </w:rPr>
        <w:t>potrivit căruia voinţa poporului constituie baza puterii de stat</w:t>
      </w:r>
      <w:r w:rsidRPr="009705AE">
        <w:rPr>
          <w:rFonts w:ascii="Times New Roman" w:hAnsi="Times New Roman" w:cs="Times New Roman"/>
          <w:sz w:val="26"/>
          <w:szCs w:val="26"/>
        </w:rPr>
        <w:t>, aceasta exprimându-se prin alegeri libere, care au loc în mod periodic, prin sufragiu universal, egal, direct, secret şi liber exprimat.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 Curtea reţine că, prin norma constituţională, legiuitorul a desemnat </w:t>
      </w:r>
      <w:r w:rsidRPr="009705AE">
        <w:rPr>
          <w:rFonts w:ascii="Times New Roman" w:hAnsi="Times New Roman" w:cs="Times New Roman"/>
          <w:b/>
          <w:sz w:val="26"/>
          <w:szCs w:val="26"/>
        </w:rPr>
        <w:t>poporul drept unicul deţinător al suveranităţii naţionale</w:t>
      </w:r>
      <w:r w:rsidRPr="009705AE">
        <w:rPr>
          <w:rFonts w:ascii="Times New Roman" w:hAnsi="Times New Roman" w:cs="Times New Roman"/>
          <w:sz w:val="26"/>
          <w:szCs w:val="26"/>
        </w:rPr>
        <w:t>.</w:t>
      </w:r>
    </w:p>
    <w:p w:rsidR="00DA00C2" w:rsidRPr="009705AE" w:rsidRDefault="00DA00C2" w:rsidP="00DA00C2">
      <w:pPr>
        <w:spacing w:line="276" w:lineRule="auto"/>
        <w:ind w:firstLine="426"/>
        <w:jc w:val="both"/>
        <w:rPr>
          <w:rFonts w:ascii="Times New Roman" w:hAnsi="Times New Roman" w:cs="Times New Roman"/>
          <w:i/>
          <w:sz w:val="26"/>
          <w:szCs w:val="26"/>
        </w:rPr>
      </w:pPr>
      <w:r w:rsidRPr="009705AE">
        <w:rPr>
          <w:rFonts w:ascii="Times New Roman" w:hAnsi="Times New Roman" w:cs="Times New Roman"/>
          <w:sz w:val="26"/>
          <w:szCs w:val="26"/>
        </w:rPr>
        <w:t>În acest sens, prin Hotărârea nr.16/2001</w:t>
      </w:r>
      <w:r>
        <w:rPr>
          <w:rStyle w:val="Referinnotdesubsol"/>
          <w:rFonts w:ascii="Times New Roman" w:hAnsi="Times New Roman" w:cs="Times New Roman"/>
          <w:sz w:val="26"/>
          <w:szCs w:val="26"/>
        </w:rPr>
        <w:footnoteReference w:id="7"/>
      </w:r>
      <w:r w:rsidRPr="009705AE">
        <w:rPr>
          <w:rFonts w:ascii="Times New Roman" w:hAnsi="Times New Roman" w:cs="Times New Roman"/>
          <w:sz w:val="26"/>
          <w:szCs w:val="26"/>
        </w:rPr>
        <w:t xml:space="preserve">, </w:t>
      </w:r>
      <w:r>
        <w:rPr>
          <w:rFonts w:ascii="Times New Roman" w:hAnsi="Times New Roman" w:cs="Times New Roman"/>
          <w:sz w:val="26"/>
          <w:szCs w:val="26"/>
        </w:rPr>
        <w:t>Înalta Curte</w:t>
      </w:r>
      <w:r w:rsidRPr="009705AE">
        <w:rPr>
          <w:rFonts w:ascii="Times New Roman" w:hAnsi="Times New Roman" w:cs="Times New Roman"/>
          <w:sz w:val="26"/>
          <w:szCs w:val="26"/>
        </w:rPr>
        <w:t xml:space="preserve"> a statuat </w:t>
      </w:r>
      <w:r>
        <w:rPr>
          <w:rFonts w:ascii="Times New Roman" w:hAnsi="Times New Roman" w:cs="Times New Roman"/>
          <w:sz w:val="26"/>
          <w:szCs w:val="26"/>
        </w:rPr>
        <w:t>că</w:t>
      </w:r>
      <w:r w:rsidRPr="009705AE">
        <w:rPr>
          <w:rFonts w:ascii="Times New Roman" w:hAnsi="Times New Roman" w:cs="Times New Roman"/>
          <w:sz w:val="26"/>
          <w:szCs w:val="26"/>
        </w:rPr>
        <w:t>:</w:t>
      </w:r>
      <w:r>
        <w:rPr>
          <w:rFonts w:ascii="Times New Roman" w:hAnsi="Times New Roman" w:cs="Times New Roman"/>
          <w:sz w:val="26"/>
          <w:szCs w:val="26"/>
        </w:rPr>
        <w:t xml:space="preserve"> </w:t>
      </w:r>
      <w:r w:rsidRPr="009705AE">
        <w:rPr>
          <w:rFonts w:ascii="Times New Roman" w:hAnsi="Times New Roman" w:cs="Times New Roman"/>
          <w:i/>
          <w:sz w:val="26"/>
          <w:szCs w:val="26"/>
        </w:rPr>
        <w:t xml:space="preserve">„Suveranitatea naţională înseamnă, potrivit Constituţiei, puterea absolută şi perpetuă a poporului, pe care acesta o exercită prin organele reprezentative ale puterii de stat, al cărei titular suveran este. În acest sens, suveranitatea naţională este inalienabilă, întrucât ceea ce se transmite organelor reprezentative </w:t>
      </w:r>
      <w:r w:rsidRPr="009705AE">
        <w:rPr>
          <w:rFonts w:ascii="Times New Roman" w:hAnsi="Times New Roman" w:cs="Times New Roman"/>
          <w:i/>
          <w:sz w:val="26"/>
          <w:szCs w:val="26"/>
          <w:u w:val="single"/>
        </w:rPr>
        <w:t>este doar exerciţiul acesteia</w:t>
      </w:r>
      <w:r w:rsidRPr="009705AE">
        <w:rPr>
          <w:rFonts w:ascii="Times New Roman" w:hAnsi="Times New Roman" w:cs="Times New Roman"/>
          <w:i/>
          <w:sz w:val="26"/>
          <w:szCs w:val="26"/>
        </w:rPr>
        <w:t xml:space="preserve">. </w:t>
      </w:r>
      <w:r w:rsidRPr="009705AE">
        <w:rPr>
          <w:rFonts w:ascii="Times New Roman" w:hAnsi="Times New Roman" w:cs="Times New Roman"/>
          <w:b/>
          <w:i/>
          <w:sz w:val="26"/>
          <w:szCs w:val="26"/>
        </w:rPr>
        <w:t>Exercitarea suveranităţii în mod direct de către popor se realizează prin participarea lui la referendumuri şi alegeri, precum şi prin luarea unor decizii de către acesta în mod direct.</w:t>
      </w:r>
      <w:r w:rsidRPr="009705AE">
        <w:rPr>
          <w:rFonts w:ascii="Times New Roman" w:hAnsi="Times New Roman" w:cs="Times New Roman"/>
          <w:i/>
          <w:sz w:val="26"/>
          <w:szCs w:val="26"/>
        </w:rPr>
        <w: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Relevantă pentru prezenta speță, este și poziția Curții Constituționale subliniată în HCC nr.15/2014, unde a fost statuat că: „</w:t>
      </w:r>
      <w:r w:rsidRPr="009705AE">
        <w:rPr>
          <w:rFonts w:ascii="Times New Roman" w:hAnsi="Times New Roman" w:cs="Times New Roman"/>
          <w:i/>
          <w:sz w:val="26"/>
          <w:szCs w:val="26"/>
        </w:rPr>
        <w:t>Parlamentul, la adoptarea Codului electoral şi a oricărei legi organice de modificare sau completare  a acestuia</w:t>
      </w:r>
      <w:r w:rsidRPr="009705AE">
        <w:rPr>
          <w:rFonts w:ascii="Times New Roman" w:hAnsi="Times New Roman" w:cs="Times New Roman"/>
          <w:sz w:val="26"/>
          <w:szCs w:val="26"/>
        </w:rPr>
        <w:t xml:space="preserve">, </w:t>
      </w:r>
      <w:r w:rsidRPr="009705AE">
        <w:rPr>
          <w:rFonts w:ascii="Times New Roman" w:hAnsi="Times New Roman" w:cs="Times New Roman"/>
          <w:sz w:val="26"/>
          <w:szCs w:val="26"/>
          <w:u w:val="single"/>
        </w:rPr>
        <w:t>urmează să acţioneze în conformitate cu un şir de principii constituţionale</w:t>
      </w:r>
      <w:r w:rsidRPr="009705AE">
        <w:rPr>
          <w:rFonts w:ascii="Times New Roman" w:hAnsi="Times New Roman" w:cs="Times New Roman"/>
          <w:sz w:val="26"/>
          <w:szCs w:val="26"/>
        </w:rPr>
        <w:t xml:space="preserve">, cum ar fi: </w:t>
      </w:r>
      <w:r w:rsidRPr="009705AE">
        <w:rPr>
          <w:rFonts w:ascii="Times New Roman" w:hAnsi="Times New Roman" w:cs="Times New Roman"/>
          <w:b/>
          <w:sz w:val="26"/>
          <w:szCs w:val="26"/>
        </w:rPr>
        <w:t>statul de drept, dreptul la vot</w:t>
      </w:r>
      <w:r w:rsidRPr="009705AE">
        <w:rPr>
          <w:rFonts w:ascii="Times New Roman" w:hAnsi="Times New Roman" w:cs="Times New Roman"/>
          <w:sz w:val="26"/>
          <w:szCs w:val="26"/>
        </w:rPr>
        <w:t xml:space="preserve">, egalitatea, libertatea opiniei şi a exprimării, </w:t>
      </w:r>
      <w:r w:rsidRPr="009705AE">
        <w:rPr>
          <w:rFonts w:ascii="Times New Roman" w:hAnsi="Times New Roman" w:cs="Times New Roman"/>
          <w:b/>
          <w:sz w:val="26"/>
          <w:szCs w:val="26"/>
        </w:rPr>
        <w:t>dreptul la administrare</w:t>
      </w:r>
      <w:r w:rsidRPr="009705AE">
        <w:rPr>
          <w:rFonts w:ascii="Times New Roman" w:hAnsi="Times New Roman" w:cs="Times New Roman"/>
          <w:sz w:val="26"/>
          <w:szCs w:val="26"/>
        </w:rPr>
        <w:t xml:space="preserve">, dreptul la informaţie, libertatea întrunirilor etc. Or, </w:t>
      </w:r>
      <w:r w:rsidRPr="009705AE">
        <w:rPr>
          <w:rFonts w:ascii="Times New Roman" w:hAnsi="Times New Roman" w:cs="Times New Roman"/>
          <w:i/>
          <w:sz w:val="26"/>
          <w:szCs w:val="26"/>
        </w:rPr>
        <w:t>Curtea urmează să reacţioneze de fiecare dată în cazul în care, la sesizare, va constata că legiuitorul a deviat de la aceste principii</w:t>
      </w:r>
      <w:r w:rsidRPr="009705AE">
        <w:rPr>
          <w:rFonts w:ascii="Times New Roman" w:hAnsi="Times New Roman" w:cs="Times New Roman"/>
          <w:sz w:val="26"/>
          <w:szCs w:val="26"/>
        </w:rPr>
        <w:t>.”</w:t>
      </w: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În continuare, Curtea a menționat că </w:t>
      </w:r>
      <w:r w:rsidRPr="009705AE">
        <w:rPr>
          <w:rFonts w:ascii="Times New Roman" w:hAnsi="Times New Roman" w:cs="Times New Roman"/>
          <w:i/>
          <w:sz w:val="26"/>
          <w:szCs w:val="26"/>
        </w:rPr>
        <w:t>realizarea în practică a dreptului de vot are loc prin intermediul alegerilor</w:t>
      </w:r>
      <w:r w:rsidRPr="009705AE">
        <w:rPr>
          <w:rFonts w:ascii="Times New Roman" w:hAnsi="Times New Roman" w:cs="Times New Roman"/>
          <w:sz w:val="26"/>
          <w:szCs w:val="26"/>
        </w:rPr>
        <w:t>. În acest sens, prin Hotărârea nr.15/1998, a reţinut că:</w:t>
      </w:r>
      <w:r>
        <w:rPr>
          <w:rFonts w:ascii="Times New Roman" w:hAnsi="Times New Roman" w:cs="Times New Roman"/>
          <w:sz w:val="26"/>
          <w:szCs w:val="26"/>
        </w:rPr>
        <w:t xml:space="preserve"> </w:t>
      </w:r>
      <w:r w:rsidRPr="009705AE">
        <w:rPr>
          <w:rFonts w:ascii="Times New Roman" w:hAnsi="Times New Roman" w:cs="Times New Roman"/>
          <w:sz w:val="26"/>
          <w:szCs w:val="26"/>
        </w:rPr>
        <w:t xml:space="preserve"> „</w:t>
      </w:r>
      <w:r w:rsidRPr="00920400">
        <w:rPr>
          <w:rFonts w:ascii="Times New Roman" w:hAnsi="Times New Roman" w:cs="Times New Roman"/>
          <w:i/>
          <w:sz w:val="26"/>
          <w:szCs w:val="26"/>
        </w:rPr>
        <w:t>Alegerile constituie nu numai un mijloc de exercitare de către cetăţeni a drepturilor lor politice, consacrate de Constituţie</w:t>
      </w:r>
      <w:r w:rsidRPr="009705AE">
        <w:rPr>
          <w:rFonts w:ascii="Times New Roman" w:hAnsi="Times New Roman" w:cs="Times New Roman"/>
          <w:sz w:val="26"/>
          <w:szCs w:val="26"/>
        </w:rPr>
        <w:t xml:space="preserve">, </w:t>
      </w:r>
      <w:r w:rsidRPr="00920400">
        <w:rPr>
          <w:rFonts w:ascii="Times New Roman" w:hAnsi="Times New Roman" w:cs="Times New Roman"/>
          <w:sz w:val="26"/>
          <w:szCs w:val="26"/>
          <w:u w:val="single"/>
        </w:rPr>
        <w:t>ci şi un mijloc de dotare a instituţiilor unui stat democratic cu o capacitate coerentă de expresie</w:t>
      </w:r>
      <w:r w:rsidRPr="009705AE">
        <w:rPr>
          <w:rFonts w:ascii="Times New Roman" w:hAnsi="Times New Roman" w:cs="Times New Roman"/>
          <w:sz w:val="26"/>
          <w:szCs w:val="26"/>
        </w:rPr>
        <w:t xml:space="preserve">, pentru a face posibilă organizarea unor </w:t>
      </w:r>
      <w:r w:rsidRPr="009705AE">
        <w:rPr>
          <w:rFonts w:ascii="Times New Roman" w:hAnsi="Times New Roman" w:cs="Times New Roman"/>
          <w:sz w:val="26"/>
          <w:szCs w:val="26"/>
        </w:rPr>
        <w:lastRenderedPageBreak/>
        <w:t>centre de decizie politică, eficiente şi în măsură să imprime activităţii de stat o orientare general nefragmentată.”</w:t>
      </w:r>
    </w:p>
    <w:p w:rsidR="00DA00C2" w:rsidRPr="009705AE" w:rsidRDefault="00DA00C2" w:rsidP="00DA00C2">
      <w:pPr>
        <w:spacing w:line="276" w:lineRule="auto"/>
        <w:ind w:firstLine="426"/>
        <w:jc w:val="both"/>
        <w:rPr>
          <w:rFonts w:ascii="Times New Roman" w:hAnsi="Times New Roman" w:cs="Times New Roman"/>
          <w:sz w:val="26"/>
          <w:szCs w:val="26"/>
        </w:rPr>
      </w:pPr>
      <w:r>
        <w:rPr>
          <w:rFonts w:ascii="Times New Roman" w:hAnsi="Times New Roman" w:cs="Times New Roman"/>
          <w:sz w:val="26"/>
          <w:szCs w:val="26"/>
        </w:rPr>
        <w:t>Nu în ultimul râ</w:t>
      </w:r>
      <w:r w:rsidRPr="009705AE">
        <w:rPr>
          <w:rFonts w:ascii="Times New Roman" w:hAnsi="Times New Roman" w:cs="Times New Roman"/>
          <w:sz w:val="26"/>
          <w:szCs w:val="26"/>
        </w:rPr>
        <w:t xml:space="preserve">nd este necesar </w:t>
      </w:r>
      <w:r>
        <w:rPr>
          <w:rFonts w:ascii="Times New Roman" w:hAnsi="Times New Roman" w:cs="Times New Roman"/>
          <w:sz w:val="26"/>
          <w:szCs w:val="26"/>
        </w:rPr>
        <w:t>de menționat că, chiar în Hotărâ</w:t>
      </w:r>
      <w:r w:rsidRPr="009705AE">
        <w:rPr>
          <w:rFonts w:ascii="Times New Roman" w:hAnsi="Times New Roman" w:cs="Times New Roman"/>
          <w:sz w:val="26"/>
          <w:szCs w:val="26"/>
        </w:rPr>
        <w:t xml:space="preserve">rea Curții Constituționale nr.24/2017, pe care autorul proiectului pretinde că </w:t>
      </w:r>
      <w:r>
        <w:rPr>
          <w:rFonts w:ascii="Times New Roman" w:hAnsi="Times New Roman" w:cs="Times New Roman"/>
          <w:sz w:val="26"/>
          <w:szCs w:val="26"/>
        </w:rPr>
        <w:t>intenționează</w:t>
      </w:r>
      <w:r w:rsidRPr="009705AE">
        <w:rPr>
          <w:rFonts w:ascii="Times New Roman" w:hAnsi="Times New Roman" w:cs="Times New Roman"/>
          <w:sz w:val="26"/>
          <w:szCs w:val="26"/>
        </w:rPr>
        <w:t xml:space="preserve"> să o execute, Curtea a dispus următoarele:</w:t>
      </w:r>
    </w:p>
    <w:p w:rsidR="00DA00C2" w:rsidRDefault="00DA00C2" w:rsidP="00DA00C2">
      <w:pPr>
        <w:spacing w:line="276" w:lineRule="auto"/>
        <w:ind w:firstLine="426"/>
        <w:jc w:val="both"/>
        <w:rPr>
          <w:rFonts w:ascii="Times New Roman" w:hAnsi="Times New Roman" w:cs="Times New Roman"/>
          <w:bCs/>
          <w:sz w:val="26"/>
          <w:szCs w:val="26"/>
        </w:rPr>
      </w:pPr>
      <w:r w:rsidRPr="009705AE">
        <w:rPr>
          <w:rFonts w:ascii="Times New Roman" w:hAnsi="Times New Roman" w:cs="Times New Roman"/>
          <w:sz w:val="26"/>
          <w:szCs w:val="26"/>
        </w:rPr>
        <w:t>„În acelaşi timp, Curtea menţionează că alin.</w:t>
      </w:r>
      <w:r>
        <w:rPr>
          <w:rFonts w:ascii="Times New Roman" w:hAnsi="Times New Roman" w:cs="Times New Roman"/>
          <w:sz w:val="26"/>
          <w:szCs w:val="26"/>
        </w:rPr>
        <w:t xml:space="preserve"> </w:t>
      </w:r>
      <w:r w:rsidRPr="009705AE">
        <w:rPr>
          <w:rFonts w:ascii="Times New Roman" w:hAnsi="Times New Roman" w:cs="Times New Roman"/>
          <w:sz w:val="26"/>
          <w:szCs w:val="26"/>
        </w:rPr>
        <w:t xml:space="preserve">(2) al articolului 2 din Constituţie statuează, cu titlu de principiu, </w:t>
      </w:r>
      <w:r w:rsidRPr="009705AE">
        <w:rPr>
          <w:rFonts w:ascii="Times New Roman" w:hAnsi="Times New Roman" w:cs="Times New Roman"/>
          <w:b/>
          <w:bCs/>
          <w:sz w:val="26"/>
          <w:szCs w:val="26"/>
        </w:rPr>
        <w:t>că nici o persoană particulară, nici o parte din popor, nici un grup social, nici un partid politic sau o altă formaţiune obştească nu poate exercita puterea de stat în nume propriu. Uzurparea puterii de stat constituie cea mai gravă crimă împotriva poporului</w:t>
      </w:r>
      <w:r w:rsidRPr="009705AE">
        <w:rPr>
          <w:rFonts w:ascii="Times New Roman" w:hAnsi="Times New Roman" w:cs="Times New Roman"/>
          <w:bCs/>
          <w:sz w:val="26"/>
          <w:szCs w:val="26"/>
        </w:rPr>
        <w:t>.”</w:t>
      </w:r>
    </w:p>
    <w:p w:rsidR="00DA00C2" w:rsidRPr="000E0692" w:rsidRDefault="00DA00C2" w:rsidP="00DA00C2">
      <w:pPr>
        <w:spacing w:line="276" w:lineRule="auto"/>
        <w:ind w:firstLine="426"/>
        <w:jc w:val="both"/>
        <w:rPr>
          <w:rFonts w:ascii="Times New Roman" w:hAnsi="Times New Roman" w:cs="Times New Roman"/>
          <w:sz w:val="10"/>
          <w:szCs w:val="26"/>
        </w:rPr>
      </w:pPr>
    </w:p>
    <w:p w:rsidR="00DA00C2" w:rsidRPr="009705AE"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 xml:space="preserve">Astfel, în condițiile în care Curtea a dispus că, potrivit normei constituţionale, </w:t>
      </w:r>
      <w:r w:rsidRPr="009705AE">
        <w:rPr>
          <w:rFonts w:ascii="Times New Roman" w:hAnsi="Times New Roman" w:cs="Times New Roman"/>
          <w:i/>
          <w:sz w:val="26"/>
          <w:szCs w:val="26"/>
        </w:rPr>
        <w:t>o democraţie veritabilă poate fi constituită numai de către popor</w:t>
      </w:r>
      <w:r w:rsidRPr="009705AE">
        <w:rPr>
          <w:rFonts w:ascii="Times New Roman" w:hAnsi="Times New Roman" w:cs="Times New Roman"/>
          <w:b/>
          <w:sz w:val="26"/>
          <w:szCs w:val="26"/>
        </w:rPr>
        <w:t>, prin exercitarea suveranităţii naţionale în mod direct</w:t>
      </w:r>
      <w:r w:rsidRPr="009705AE">
        <w:rPr>
          <w:rFonts w:ascii="Times New Roman" w:hAnsi="Times New Roman" w:cs="Times New Roman"/>
          <w:sz w:val="26"/>
          <w:szCs w:val="26"/>
        </w:rPr>
        <w:t xml:space="preserve"> prin participarea la referendumuri </w:t>
      </w:r>
      <w:r w:rsidRPr="009705AE">
        <w:rPr>
          <w:rFonts w:ascii="Times New Roman" w:hAnsi="Times New Roman" w:cs="Times New Roman"/>
          <w:b/>
          <w:sz w:val="26"/>
          <w:szCs w:val="26"/>
          <w:u w:val="single"/>
        </w:rPr>
        <w:t>ori</w:t>
      </w:r>
      <w:r w:rsidRPr="009705AE">
        <w:rPr>
          <w:rFonts w:ascii="Times New Roman" w:hAnsi="Times New Roman" w:cs="Times New Roman"/>
          <w:sz w:val="26"/>
          <w:szCs w:val="26"/>
        </w:rPr>
        <w:t xml:space="preserve"> prin intermediul reprezentanţilor săi, putem concluziona că, chiar și </w:t>
      </w:r>
      <w:r w:rsidRPr="009705AE">
        <w:rPr>
          <w:rFonts w:ascii="Times New Roman" w:hAnsi="Times New Roman" w:cs="Times New Roman"/>
          <w:sz w:val="26"/>
          <w:szCs w:val="26"/>
          <w:u w:val="single"/>
        </w:rPr>
        <w:t>dacă Parlamentul este unicul organ reprezentativ suprem al poporului</w:t>
      </w:r>
      <w:r w:rsidRPr="009705AE">
        <w:rPr>
          <w:rFonts w:ascii="Times New Roman" w:hAnsi="Times New Roman" w:cs="Times New Roman"/>
          <w:sz w:val="26"/>
          <w:szCs w:val="26"/>
        </w:rPr>
        <w:t xml:space="preserve">, </w:t>
      </w:r>
      <w:r w:rsidRPr="009705AE">
        <w:rPr>
          <w:rFonts w:ascii="Times New Roman" w:hAnsi="Times New Roman" w:cs="Times New Roman"/>
          <w:b/>
          <w:sz w:val="26"/>
          <w:szCs w:val="26"/>
        </w:rPr>
        <w:t>acesta nu poate substitui în totalitate poporul și la fel nu poate să excludă dreptul cetățenilor de a iniția orice tip de referendum</w:t>
      </w:r>
      <w:r>
        <w:rPr>
          <w:rFonts w:ascii="Times New Roman" w:hAnsi="Times New Roman" w:cs="Times New Roman"/>
          <w:sz w:val="26"/>
          <w:szCs w:val="26"/>
        </w:rPr>
        <w:t>, odată ce potrivit Legii Suprem</w:t>
      </w:r>
      <w:r w:rsidRPr="009705AE">
        <w:rPr>
          <w:rFonts w:ascii="Times New Roman" w:hAnsi="Times New Roman" w:cs="Times New Roman"/>
          <w:sz w:val="26"/>
          <w:szCs w:val="26"/>
        </w:rPr>
        <w:t>e hotărârile adoptate potrivit rezultatelor referendumului republican au putere juridică supremă.</w:t>
      </w:r>
    </w:p>
    <w:p w:rsidR="00DA00C2" w:rsidRDefault="00DA00C2" w:rsidP="00DA00C2">
      <w:pPr>
        <w:spacing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La fel de mult sunt neclare acțiunile grabnice ale autorităților de a promova un asemenea proiect de modificare și completare a Codului Electoral la capitolul referendumuri </w:t>
      </w:r>
      <w:r w:rsidRPr="000E0692">
        <w:rPr>
          <w:rFonts w:ascii="Times New Roman" w:hAnsi="Times New Roman" w:cs="Times New Roman"/>
          <w:i/>
          <w:sz w:val="26"/>
          <w:szCs w:val="26"/>
        </w:rPr>
        <w:t>anume în acest moment</w:t>
      </w:r>
      <w:r>
        <w:rPr>
          <w:rFonts w:ascii="Times New Roman" w:hAnsi="Times New Roman" w:cs="Times New Roman"/>
          <w:sz w:val="26"/>
          <w:szCs w:val="26"/>
        </w:rPr>
        <w:t>, sub pretextul executării adresei emise în baza Hotărârii</w:t>
      </w:r>
      <w:r w:rsidRPr="009705AE">
        <w:rPr>
          <w:rFonts w:ascii="Times New Roman" w:hAnsi="Times New Roman" w:cs="Times New Roman"/>
          <w:sz w:val="26"/>
          <w:szCs w:val="26"/>
        </w:rPr>
        <w:t xml:space="preserve"> nr.24/2017</w:t>
      </w:r>
      <w:r>
        <w:rPr>
          <w:rFonts w:ascii="Times New Roman" w:hAnsi="Times New Roman" w:cs="Times New Roman"/>
          <w:sz w:val="26"/>
          <w:szCs w:val="26"/>
        </w:rPr>
        <w:t xml:space="preserve">. Or, </w:t>
      </w:r>
      <w:r w:rsidRPr="00920400">
        <w:rPr>
          <w:rFonts w:ascii="Times New Roman" w:hAnsi="Times New Roman" w:cs="Times New Roman"/>
          <w:sz w:val="26"/>
          <w:szCs w:val="26"/>
        </w:rPr>
        <w:t xml:space="preserve">Curtea </w:t>
      </w:r>
      <w:r>
        <w:rPr>
          <w:rFonts w:ascii="Times New Roman" w:hAnsi="Times New Roman" w:cs="Times New Roman"/>
          <w:sz w:val="26"/>
          <w:szCs w:val="26"/>
        </w:rPr>
        <w:t>Constituțională atrage atenția</w:t>
      </w:r>
      <w:r w:rsidRPr="00920400">
        <w:rPr>
          <w:rFonts w:ascii="Times New Roman" w:hAnsi="Times New Roman" w:cs="Times New Roman"/>
          <w:sz w:val="26"/>
          <w:szCs w:val="26"/>
        </w:rPr>
        <w:t xml:space="preserve"> că la adoptarea Hotărârii nr.22</w:t>
      </w:r>
      <w:r>
        <w:rPr>
          <w:rFonts w:ascii="Times New Roman" w:hAnsi="Times New Roman" w:cs="Times New Roman"/>
          <w:sz w:val="26"/>
          <w:szCs w:val="26"/>
        </w:rPr>
        <w:t>/</w:t>
      </w:r>
      <w:r w:rsidRPr="00920400">
        <w:rPr>
          <w:rFonts w:ascii="Times New Roman" w:hAnsi="Times New Roman" w:cs="Times New Roman"/>
          <w:sz w:val="26"/>
          <w:szCs w:val="26"/>
        </w:rPr>
        <w:t>2010, precum şi a Avizului nr.1</w:t>
      </w:r>
      <w:r>
        <w:rPr>
          <w:rFonts w:ascii="Times New Roman" w:hAnsi="Times New Roman" w:cs="Times New Roman"/>
          <w:sz w:val="26"/>
          <w:szCs w:val="26"/>
        </w:rPr>
        <w:t>/</w:t>
      </w:r>
      <w:r w:rsidRPr="00920400">
        <w:rPr>
          <w:rFonts w:ascii="Times New Roman" w:hAnsi="Times New Roman" w:cs="Times New Roman"/>
          <w:sz w:val="26"/>
          <w:szCs w:val="26"/>
        </w:rPr>
        <w:t xml:space="preserve">2014 instanţa de contencios constituţional a emis </w:t>
      </w:r>
      <w:r>
        <w:rPr>
          <w:rFonts w:ascii="Times New Roman" w:hAnsi="Times New Roman" w:cs="Times New Roman"/>
          <w:sz w:val="26"/>
          <w:szCs w:val="26"/>
        </w:rPr>
        <w:t xml:space="preserve">alte </w:t>
      </w:r>
      <w:r w:rsidRPr="00920400">
        <w:rPr>
          <w:rFonts w:ascii="Times New Roman" w:hAnsi="Times New Roman" w:cs="Times New Roman"/>
          <w:sz w:val="26"/>
          <w:szCs w:val="26"/>
        </w:rPr>
        <w:t xml:space="preserve">două adrese, prin care a semnalat </w:t>
      </w:r>
      <w:r>
        <w:rPr>
          <w:rFonts w:ascii="Times New Roman" w:hAnsi="Times New Roman" w:cs="Times New Roman"/>
          <w:sz w:val="26"/>
          <w:szCs w:val="26"/>
        </w:rPr>
        <w:t>autorităților</w:t>
      </w:r>
      <w:r w:rsidRPr="00920400">
        <w:rPr>
          <w:rFonts w:ascii="Times New Roman" w:hAnsi="Times New Roman" w:cs="Times New Roman"/>
          <w:sz w:val="26"/>
          <w:szCs w:val="26"/>
        </w:rPr>
        <w:t xml:space="preserve"> existenţa </w:t>
      </w:r>
      <w:r>
        <w:rPr>
          <w:rFonts w:ascii="Times New Roman" w:hAnsi="Times New Roman" w:cs="Times New Roman"/>
          <w:sz w:val="26"/>
          <w:szCs w:val="26"/>
        </w:rPr>
        <w:t>mai multor lacune</w:t>
      </w:r>
      <w:r w:rsidRPr="00920400">
        <w:rPr>
          <w:rFonts w:ascii="Times New Roman" w:hAnsi="Times New Roman" w:cs="Times New Roman"/>
          <w:sz w:val="26"/>
          <w:szCs w:val="26"/>
        </w:rPr>
        <w:t xml:space="preserve"> în legislaţia electorală cu referire</w:t>
      </w:r>
      <w:r>
        <w:rPr>
          <w:rFonts w:ascii="Times New Roman" w:hAnsi="Times New Roman" w:cs="Times New Roman"/>
          <w:sz w:val="26"/>
          <w:szCs w:val="26"/>
        </w:rPr>
        <w:t xml:space="preserve"> la referendumurile democratice, </w:t>
      </w:r>
      <w:r w:rsidRPr="00920400">
        <w:rPr>
          <w:rFonts w:ascii="Times New Roman" w:hAnsi="Times New Roman" w:cs="Times New Roman"/>
          <w:sz w:val="26"/>
          <w:szCs w:val="26"/>
        </w:rPr>
        <w:t xml:space="preserve"> </w:t>
      </w:r>
      <w:r>
        <w:rPr>
          <w:rFonts w:ascii="Times New Roman" w:hAnsi="Times New Roman" w:cs="Times New Roman"/>
          <w:sz w:val="26"/>
          <w:szCs w:val="26"/>
        </w:rPr>
        <w:t>iar pâ</w:t>
      </w:r>
      <w:r w:rsidRPr="00920400">
        <w:rPr>
          <w:rFonts w:ascii="Times New Roman" w:hAnsi="Times New Roman" w:cs="Times New Roman"/>
          <w:sz w:val="26"/>
          <w:szCs w:val="26"/>
        </w:rPr>
        <w:t>nă în prezent lacunele semnalate nu au fost remediate de către legislativ.</w:t>
      </w:r>
    </w:p>
    <w:p w:rsidR="00DA00C2"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În concluzie,</w:t>
      </w:r>
      <w:r>
        <w:rPr>
          <w:rFonts w:ascii="Times New Roman" w:hAnsi="Times New Roman" w:cs="Times New Roman"/>
          <w:sz w:val="26"/>
          <w:szCs w:val="26"/>
        </w:rPr>
        <w:t xml:space="preserve"> Comunitatea „</w:t>
      </w:r>
      <w:proofErr w:type="spellStart"/>
      <w:r>
        <w:rPr>
          <w:rFonts w:ascii="Times New Roman" w:hAnsi="Times New Roman" w:cs="Times New Roman"/>
          <w:sz w:val="26"/>
          <w:szCs w:val="26"/>
        </w:rPr>
        <w:t>WatchDog.MD</w:t>
      </w:r>
      <w:proofErr w:type="spellEnd"/>
      <w:r w:rsidRPr="009705AE">
        <w:rPr>
          <w:rFonts w:ascii="Times New Roman" w:hAnsi="Times New Roman" w:cs="Times New Roman"/>
          <w:sz w:val="26"/>
          <w:szCs w:val="26"/>
        </w:rPr>
        <w:t xml:space="preserve">” observă și atrage atenția că în condițiile în care Ministerul Justiției și/sau Guvernul Republicii Moldova (care este emanația majorității parlamentare actuale), </w:t>
      </w:r>
      <w:r w:rsidRPr="009705AE">
        <w:rPr>
          <w:rFonts w:ascii="Times New Roman" w:hAnsi="Times New Roman" w:cs="Times New Roman"/>
          <w:i/>
          <w:sz w:val="26"/>
          <w:szCs w:val="26"/>
        </w:rPr>
        <w:t xml:space="preserve">nu vor ține cont și vor ignora </w:t>
      </w:r>
      <w:r>
        <w:rPr>
          <w:rFonts w:ascii="Times New Roman" w:hAnsi="Times New Roman" w:cs="Times New Roman"/>
          <w:i/>
          <w:sz w:val="26"/>
          <w:szCs w:val="26"/>
        </w:rPr>
        <w:t>argumentele</w:t>
      </w:r>
      <w:r w:rsidRPr="009705AE">
        <w:rPr>
          <w:rFonts w:ascii="Times New Roman" w:hAnsi="Times New Roman" w:cs="Times New Roman"/>
          <w:i/>
          <w:sz w:val="26"/>
          <w:szCs w:val="26"/>
        </w:rPr>
        <w:t xml:space="preserve"> noastre</w:t>
      </w:r>
      <w:r w:rsidRPr="009705AE">
        <w:rPr>
          <w:rFonts w:ascii="Times New Roman" w:hAnsi="Times New Roman" w:cs="Times New Roman"/>
          <w:sz w:val="26"/>
          <w:szCs w:val="26"/>
        </w:rPr>
        <w:t xml:space="preserve">, putem să ajungem în situația în care chiar și dacă Comisia Electorală Centrală va </w:t>
      </w:r>
      <w:r w:rsidRPr="009705AE">
        <w:rPr>
          <w:rFonts w:ascii="Times New Roman" w:hAnsi="Times New Roman" w:cs="Times New Roman"/>
          <w:sz w:val="26"/>
          <w:szCs w:val="26"/>
        </w:rPr>
        <w:lastRenderedPageBreak/>
        <w:t xml:space="preserve">înregistra noul grup de inițiativă privind desfășurarea referendumului republican legislativ, iar ulterior grupul de inițiativă va colecta 200 mii de semnături în susținerea acestui referendum, </w:t>
      </w:r>
      <w:r w:rsidRPr="00920400">
        <w:rPr>
          <w:rFonts w:ascii="Times New Roman" w:hAnsi="Times New Roman" w:cs="Times New Roman"/>
          <w:sz w:val="26"/>
          <w:szCs w:val="26"/>
          <w:u w:val="single"/>
        </w:rPr>
        <w:t>între timp</w:t>
      </w:r>
      <w:r>
        <w:rPr>
          <w:rFonts w:ascii="Times New Roman" w:hAnsi="Times New Roman" w:cs="Times New Roman"/>
          <w:sz w:val="26"/>
          <w:szCs w:val="26"/>
        </w:rPr>
        <w:t xml:space="preserve"> </w:t>
      </w:r>
      <w:r w:rsidRPr="009705AE">
        <w:rPr>
          <w:rFonts w:ascii="Times New Roman" w:hAnsi="Times New Roman" w:cs="Times New Roman"/>
          <w:sz w:val="26"/>
          <w:szCs w:val="26"/>
          <w:u w:val="single"/>
        </w:rPr>
        <w:t xml:space="preserve">există riscul ca Parlamentul să adopte proiectul de lege </w:t>
      </w:r>
      <w:r>
        <w:rPr>
          <w:rFonts w:ascii="Times New Roman" w:hAnsi="Times New Roman" w:cs="Times New Roman"/>
          <w:sz w:val="26"/>
          <w:szCs w:val="26"/>
          <w:u w:val="single"/>
        </w:rPr>
        <w:t xml:space="preserve">în redacția </w:t>
      </w:r>
      <w:r w:rsidRPr="009705AE">
        <w:rPr>
          <w:rFonts w:ascii="Times New Roman" w:hAnsi="Times New Roman" w:cs="Times New Roman"/>
          <w:sz w:val="26"/>
          <w:szCs w:val="26"/>
          <w:u w:val="single"/>
        </w:rPr>
        <w:t>propus</w:t>
      </w:r>
      <w:r>
        <w:rPr>
          <w:rFonts w:ascii="Times New Roman" w:hAnsi="Times New Roman" w:cs="Times New Roman"/>
          <w:sz w:val="26"/>
          <w:szCs w:val="26"/>
          <w:u w:val="single"/>
        </w:rPr>
        <w:t>ă</w:t>
      </w:r>
      <w:r w:rsidRPr="009705AE">
        <w:rPr>
          <w:rFonts w:ascii="Times New Roman" w:hAnsi="Times New Roman" w:cs="Times New Roman"/>
          <w:sz w:val="26"/>
          <w:szCs w:val="26"/>
          <w:u w:val="single"/>
        </w:rPr>
        <w:t xml:space="preserve"> de Ministerul Justiției</w:t>
      </w:r>
      <w:r>
        <w:rPr>
          <w:rFonts w:ascii="Times New Roman" w:hAnsi="Times New Roman" w:cs="Times New Roman"/>
          <w:sz w:val="26"/>
          <w:szCs w:val="26"/>
          <w:u w:val="single"/>
        </w:rPr>
        <w:t>/</w:t>
      </w:r>
      <w:r w:rsidRPr="009705AE">
        <w:rPr>
          <w:rFonts w:ascii="Times New Roman" w:hAnsi="Times New Roman" w:cs="Times New Roman"/>
          <w:sz w:val="26"/>
          <w:szCs w:val="26"/>
          <w:u w:val="single"/>
        </w:rPr>
        <w:t>Guvern</w:t>
      </w:r>
      <w:r>
        <w:rPr>
          <w:rFonts w:ascii="Times New Roman" w:hAnsi="Times New Roman" w:cs="Times New Roman"/>
          <w:sz w:val="26"/>
          <w:szCs w:val="26"/>
        </w:rPr>
        <w:t>. Pe cale de consecință,</w:t>
      </w:r>
      <w:r w:rsidRPr="009705AE">
        <w:rPr>
          <w:rFonts w:ascii="Times New Roman" w:hAnsi="Times New Roman" w:cs="Times New Roman"/>
          <w:sz w:val="26"/>
          <w:szCs w:val="26"/>
        </w:rPr>
        <w:t xml:space="preserve"> </w:t>
      </w:r>
      <w:r>
        <w:rPr>
          <w:rFonts w:ascii="Times New Roman" w:hAnsi="Times New Roman" w:cs="Times New Roman"/>
          <w:sz w:val="26"/>
          <w:szCs w:val="26"/>
        </w:rPr>
        <w:t>ulterior</w:t>
      </w:r>
      <w:r w:rsidRPr="009705AE">
        <w:rPr>
          <w:rFonts w:ascii="Times New Roman" w:hAnsi="Times New Roman" w:cs="Times New Roman"/>
          <w:sz w:val="26"/>
          <w:szCs w:val="26"/>
        </w:rPr>
        <w:t xml:space="preserve"> </w:t>
      </w:r>
      <w:r w:rsidRPr="009705AE">
        <w:rPr>
          <w:rFonts w:ascii="Times New Roman" w:hAnsi="Times New Roman" w:cs="Times New Roman"/>
          <w:b/>
          <w:sz w:val="26"/>
          <w:szCs w:val="26"/>
        </w:rPr>
        <w:t xml:space="preserve">majoritatea parlamentară actuală va avea temei </w:t>
      </w:r>
      <w:r>
        <w:rPr>
          <w:rFonts w:ascii="Times New Roman" w:hAnsi="Times New Roman" w:cs="Times New Roman"/>
          <w:b/>
          <w:sz w:val="26"/>
          <w:szCs w:val="26"/>
        </w:rPr>
        <w:t>prevăzut de noua lege adoptată și astfel va</w:t>
      </w:r>
      <w:r w:rsidRPr="009705AE">
        <w:rPr>
          <w:rFonts w:ascii="Times New Roman" w:hAnsi="Times New Roman" w:cs="Times New Roman"/>
          <w:b/>
          <w:sz w:val="26"/>
          <w:szCs w:val="26"/>
        </w:rPr>
        <w:t xml:space="preserve"> </w:t>
      </w:r>
      <w:r w:rsidRPr="009705AE">
        <w:rPr>
          <w:rFonts w:ascii="Times New Roman" w:hAnsi="Times New Roman" w:cs="Times New Roman"/>
          <w:b/>
          <w:sz w:val="26"/>
          <w:szCs w:val="26"/>
          <w:u w:val="single"/>
        </w:rPr>
        <w:t>refuza</w:t>
      </w:r>
      <w:r w:rsidRPr="009705AE">
        <w:rPr>
          <w:rFonts w:ascii="Times New Roman" w:hAnsi="Times New Roman" w:cs="Times New Roman"/>
          <w:b/>
          <w:sz w:val="26"/>
          <w:szCs w:val="26"/>
        </w:rPr>
        <w:t xml:space="preserve"> desfăşurarea referendumului inițiat de cetățeni</w:t>
      </w:r>
      <w:r w:rsidRPr="009705AE">
        <w:rPr>
          <w:rFonts w:ascii="Times New Roman" w:hAnsi="Times New Roman" w:cs="Times New Roman"/>
          <w:sz w:val="26"/>
          <w:szCs w:val="26"/>
        </w:rPr>
        <w:t>.</w:t>
      </w:r>
    </w:p>
    <w:p w:rsidR="00DA00C2" w:rsidRDefault="00DA00C2" w:rsidP="00DA00C2">
      <w:pPr>
        <w:spacing w:line="276" w:lineRule="auto"/>
        <w:ind w:firstLine="426"/>
        <w:jc w:val="both"/>
        <w:rPr>
          <w:rFonts w:ascii="Times New Roman" w:hAnsi="Times New Roman" w:cs="Times New Roman"/>
          <w:sz w:val="26"/>
          <w:szCs w:val="26"/>
        </w:rPr>
      </w:pPr>
      <w:r w:rsidRPr="009705AE">
        <w:rPr>
          <w:rFonts w:ascii="Times New Roman" w:hAnsi="Times New Roman" w:cs="Times New Roman"/>
          <w:sz w:val="26"/>
          <w:szCs w:val="26"/>
        </w:rPr>
        <w:t>În lumina celor expuse</w:t>
      </w:r>
      <w:r>
        <w:rPr>
          <w:rFonts w:ascii="Times New Roman" w:hAnsi="Times New Roman" w:cs="Times New Roman"/>
          <w:sz w:val="26"/>
          <w:szCs w:val="26"/>
        </w:rPr>
        <w:t xml:space="preserve"> supra, Comunitatea „</w:t>
      </w:r>
      <w:proofErr w:type="spellStart"/>
      <w:r>
        <w:rPr>
          <w:rFonts w:ascii="Times New Roman" w:hAnsi="Times New Roman" w:cs="Times New Roman"/>
          <w:sz w:val="26"/>
          <w:szCs w:val="26"/>
        </w:rPr>
        <w:t>WatchDog.MD</w:t>
      </w:r>
      <w:proofErr w:type="spellEnd"/>
      <w:r w:rsidRPr="009705AE">
        <w:rPr>
          <w:rFonts w:ascii="Times New Roman" w:hAnsi="Times New Roman" w:cs="Times New Roman"/>
          <w:sz w:val="26"/>
          <w:szCs w:val="26"/>
        </w:rPr>
        <w:t>” propun</w:t>
      </w:r>
      <w:r>
        <w:rPr>
          <w:rFonts w:ascii="Times New Roman" w:hAnsi="Times New Roman" w:cs="Times New Roman"/>
          <w:sz w:val="26"/>
          <w:szCs w:val="26"/>
        </w:rPr>
        <w:t>e Ministerului Justiției să țină</w:t>
      </w:r>
      <w:r w:rsidRPr="009705AE">
        <w:rPr>
          <w:rFonts w:ascii="Times New Roman" w:hAnsi="Times New Roman" w:cs="Times New Roman"/>
          <w:sz w:val="26"/>
          <w:szCs w:val="26"/>
        </w:rPr>
        <w:t xml:space="preserve"> cont de </w:t>
      </w:r>
      <w:r>
        <w:rPr>
          <w:rFonts w:ascii="Times New Roman" w:hAnsi="Times New Roman" w:cs="Times New Roman"/>
          <w:sz w:val="26"/>
          <w:szCs w:val="26"/>
        </w:rPr>
        <w:t xml:space="preserve">observațiile și </w:t>
      </w:r>
      <w:r w:rsidRPr="009705AE">
        <w:rPr>
          <w:rFonts w:ascii="Times New Roman" w:hAnsi="Times New Roman" w:cs="Times New Roman"/>
          <w:sz w:val="26"/>
          <w:szCs w:val="26"/>
        </w:rPr>
        <w:t xml:space="preserve">argumentele aduse și </w:t>
      </w:r>
      <w:r w:rsidRPr="000E0692">
        <w:rPr>
          <w:rFonts w:ascii="Times New Roman" w:hAnsi="Times New Roman" w:cs="Times New Roman"/>
          <w:sz w:val="26"/>
          <w:szCs w:val="26"/>
          <w:u w:val="single"/>
        </w:rPr>
        <w:t>solicită respectuos să redacteze și să expună esența proiectului</w:t>
      </w:r>
      <w:r w:rsidRPr="009705AE">
        <w:rPr>
          <w:rFonts w:ascii="Times New Roman" w:hAnsi="Times New Roman" w:cs="Times New Roman"/>
          <w:sz w:val="26"/>
          <w:szCs w:val="26"/>
        </w:rPr>
        <w:t xml:space="preserve"> în maniera în care </w:t>
      </w:r>
      <w:r w:rsidRPr="000E0692">
        <w:rPr>
          <w:rFonts w:ascii="Times New Roman" w:hAnsi="Times New Roman" w:cs="Times New Roman"/>
          <w:b/>
          <w:sz w:val="26"/>
          <w:szCs w:val="26"/>
        </w:rPr>
        <w:t>un număr de cel puţin 200 mii de cetăţeni ai Republicii Moldova cu drept de vot să aibă dreptul de a iniția orice tip de referendum</w:t>
      </w:r>
      <w:r w:rsidRPr="009705AE">
        <w:rPr>
          <w:rFonts w:ascii="Times New Roman" w:hAnsi="Times New Roman" w:cs="Times New Roman"/>
          <w:sz w:val="26"/>
          <w:szCs w:val="26"/>
        </w:rPr>
        <w:t>.</w:t>
      </w:r>
      <w:r>
        <w:rPr>
          <w:rFonts w:ascii="Times New Roman" w:hAnsi="Times New Roman" w:cs="Times New Roman"/>
          <w:sz w:val="26"/>
          <w:szCs w:val="26"/>
        </w:rPr>
        <w:t xml:space="preserve"> </w:t>
      </w:r>
      <w:r w:rsidRPr="009705AE">
        <w:rPr>
          <w:rFonts w:ascii="Times New Roman" w:hAnsi="Times New Roman" w:cs="Times New Roman"/>
          <w:sz w:val="26"/>
          <w:szCs w:val="26"/>
        </w:rPr>
        <w:t xml:space="preserve">Astfel, se propune că articolul 155, alineatul (2) </w:t>
      </w:r>
      <w:r>
        <w:rPr>
          <w:rFonts w:ascii="Times New Roman" w:hAnsi="Times New Roman" w:cs="Times New Roman"/>
          <w:sz w:val="26"/>
          <w:szCs w:val="26"/>
        </w:rPr>
        <w:t xml:space="preserve">din Codul electoral </w:t>
      </w:r>
      <w:r w:rsidRPr="009705AE">
        <w:rPr>
          <w:rFonts w:ascii="Times New Roman" w:hAnsi="Times New Roman" w:cs="Times New Roman"/>
          <w:sz w:val="26"/>
          <w:szCs w:val="26"/>
        </w:rPr>
        <w:t xml:space="preserve">să aibă următorul cuprins: </w:t>
      </w:r>
    </w:p>
    <w:p w:rsidR="00DA00C2" w:rsidRPr="00CD6609" w:rsidRDefault="00DA00C2" w:rsidP="00DA00C2">
      <w:pPr>
        <w:spacing w:line="276" w:lineRule="auto"/>
        <w:ind w:firstLine="426"/>
        <w:jc w:val="both"/>
        <w:rPr>
          <w:rFonts w:ascii="Times New Roman" w:hAnsi="Times New Roman" w:cs="Times New Roman"/>
          <w:b/>
          <w:color w:val="365F91" w:themeColor="accent1" w:themeShade="BF"/>
          <w:sz w:val="26"/>
          <w:szCs w:val="26"/>
          <w:u w:val="single"/>
        </w:rPr>
      </w:pPr>
      <w:r w:rsidRPr="00CD6609">
        <w:rPr>
          <w:rFonts w:ascii="Times New Roman" w:hAnsi="Times New Roman" w:cs="Times New Roman"/>
          <w:b/>
          <w:i/>
          <w:color w:val="365F91" w:themeColor="accent1" w:themeShade="BF"/>
          <w:sz w:val="26"/>
          <w:szCs w:val="26"/>
          <w:u w:val="single"/>
        </w:rPr>
        <w:t>„(2) Subiecţii menţionaţi la alin.(1) lit. a) și b) pot iniţia orice tip de referendum prevăzut la art.154</w:t>
      </w:r>
      <w:r w:rsidRPr="00CD6609">
        <w:rPr>
          <w:rFonts w:ascii="Times New Roman" w:hAnsi="Times New Roman" w:cs="Times New Roman"/>
          <w:b/>
          <w:color w:val="365F91" w:themeColor="accent1" w:themeShade="BF"/>
          <w:sz w:val="26"/>
          <w:szCs w:val="26"/>
          <w:u w:val="single"/>
        </w:rPr>
        <w:t>.”</w:t>
      </w:r>
    </w:p>
    <w:p w:rsidR="00DA00C2" w:rsidRPr="000E0692" w:rsidRDefault="00DA00C2" w:rsidP="00DA00C2">
      <w:pPr>
        <w:spacing w:line="276" w:lineRule="auto"/>
        <w:ind w:left="426"/>
        <w:jc w:val="both"/>
        <w:rPr>
          <w:rFonts w:ascii="Times New Roman" w:hAnsi="Times New Roman" w:cs="Times New Roman"/>
          <w:b/>
          <w:sz w:val="26"/>
          <w:szCs w:val="26"/>
        </w:rPr>
      </w:pPr>
      <w:r w:rsidRPr="000E0692">
        <w:rPr>
          <w:rFonts w:ascii="Times New Roman" w:hAnsi="Times New Roman" w:cs="Times New Roman"/>
          <w:b/>
          <w:sz w:val="26"/>
          <w:szCs w:val="26"/>
        </w:rPr>
        <w:t>Președintele</w:t>
      </w:r>
      <w:r w:rsidRPr="000E0692">
        <w:rPr>
          <w:rFonts w:ascii="Times New Roman" w:hAnsi="Times New Roman" w:cs="Times New Roman"/>
          <w:b/>
          <w:sz w:val="26"/>
          <w:szCs w:val="26"/>
        </w:rPr>
        <w:br/>
        <w:t>Aso</w:t>
      </w:r>
      <w:r>
        <w:rPr>
          <w:rFonts w:ascii="Times New Roman" w:hAnsi="Times New Roman" w:cs="Times New Roman"/>
          <w:b/>
          <w:sz w:val="26"/>
          <w:szCs w:val="26"/>
        </w:rPr>
        <w:t>ciației Comunitatea „</w:t>
      </w:r>
      <w:proofErr w:type="spellStart"/>
      <w:r>
        <w:rPr>
          <w:rFonts w:ascii="Times New Roman" w:hAnsi="Times New Roman" w:cs="Times New Roman"/>
          <w:b/>
          <w:sz w:val="26"/>
          <w:szCs w:val="26"/>
        </w:rPr>
        <w:t>WatchDog.MD</w:t>
      </w:r>
      <w:proofErr w:type="spellEnd"/>
      <w:r w:rsidRPr="000E0692">
        <w:rPr>
          <w:rFonts w:ascii="Times New Roman" w:hAnsi="Times New Roman" w:cs="Times New Roman"/>
          <w:b/>
          <w:sz w:val="26"/>
          <w:szCs w:val="26"/>
        </w:rPr>
        <w:t>”</w:t>
      </w:r>
      <w:r w:rsidRPr="000E0692">
        <w:rPr>
          <w:rFonts w:ascii="Times New Roman" w:hAnsi="Times New Roman" w:cs="Times New Roman"/>
          <w:b/>
          <w:sz w:val="26"/>
          <w:szCs w:val="26"/>
        </w:rPr>
        <w:tab/>
      </w:r>
      <w:r w:rsidRPr="000E0692">
        <w:rPr>
          <w:rFonts w:ascii="Times New Roman" w:hAnsi="Times New Roman" w:cs="Times New Roman"/>
          <w:b/>
          <w:sz w:val="26"/>
          <w:szCs w:val="26"/>
        </w:rPr>
        <w:tab/>
      </w:r>
      <w:r w:rsidRPr="000E0692">
        <w:rPr>
          <w:rFonts w:ascii="Times New Roman" w:hAnsi="Times New Roman" w:cs="Times New Roman"/>
          <w:b/>
          <w:sz w:val="26"/>
          <w:szCs w:val="26"/>
        </w:rPr>
        <w:tab/>
      </w:r>
      <w:r w:rsidRPr="000E0692">
        <w:rPr>
          <w:rFonts w:ascii="Times New Roman" w:hAnsi="Times New Roman" w:cs="Times New Roman"/>
          <w:b/>
          <w:sz w:val="26"/>
          <w:szCs w:val="26"/>
        </w:rPr>
        <w:tab/>
        <w:t>Sergiu TOFILAT</w:t>
      </w:r>
    </w:p>
    <w:p w:rsidR="000A2200" w:rsidRPr="00434974" w:rsidRDefault="00434974" w:rsidP="00434974">
      <w:pPr>
        <w:ind w:firstLine="720"/>
        <w:rPr>
          <w:rFonts w:ascii="Sylfaen" w:hAnsi="Sylfaen"/>
          <w:b/>
          <w:sz w:val="26"/>
          <w:szCs w:val="26"/>
        </w:rPr>
      </w:pPr>
      <w:bookmarkStart w:id="0" w:name="_GoBack"/>
      <w:bookmarkEnd w:id="0"/>
      <w:r w:rsidRPr="00434974">
        <w:rPr>
          <w:rFonts w:ascii="Sylfaen" w:hAnsi="Sylfaen"/>
          <w:b/>
          <w:sz w:val="26"/>
          <w:szCs w:val="26"/>
        </w:rPr>
        <w:t>22.02.2018</w:t>
      </w:r>
    </w:p>
    <w:sectPr w:rsidR="000A2200" w:rsidRPr="00434974">
      <w:head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88" w:rsidRDefault="00510088" w:rsidP="000A2200">
      <w:pPr>
        <w:spacing w:after="0" w:line="240" w:lineRule="auto"/>
      </w:pPr>
      <w:r>
        <w:separator/>
      </w:r>
    </w:p>
  </w:endnote>
  <w:endnote w:type="continuationSeparator" w:id="0">
    <w:p w:rsidR="00510088" w:rsidRDefault="00510088" w:rsidP="000A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Algerian">
    <w:altName w:val="Gabriola"/>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88" w:rsidRDefault="00510088" w:rsidP="000A2200">
      <w:pPr>
        <w:spacing w:after="0" w:line="240" w:lineRule="auto"/>
      </w:pPr>
      <w:r>
        <w:separator/>
      </w:r>
    </w:p>
  </w:footnote>
  <w:footnote w:type="continuationSeparator" w:id="0">
    <w:p w:rsidR="00510088" w:rsidRDefault="00510088" w:rsidP="000A2200">
      <w:pPr>
        <w:spacing w:after="0" w:line="240" w:lineRule="auto"/>
      </w:pPr>
      <w:r>
        <w:continuationSeparator/>
      </w:r>
    </w:p>
  </w:footnote>
  <w:footnote w:id="1">
    <w:p w:rsidR="00DA00C2" w:rsidRPr="009119EE" w:rsidRDefault="00DA00C2" w:rsidP="00DA00C2">
      <w:pPr>
        <w:pStyle w:val="Textnotdesubsol"/>
      </w:pPr>
      <w:r>
        <w:rPr>
          <w:rStyle w:val="Referinnotdesubsol"/>
        </w:rPr>
        <w:footnoteRef/>
      </w:r>
      <w:r>
        <w:t xml:space="preserve"> </w:t>
      </w:r>
      <w:hyperlink r:id="rId1" w:history="1">
        <w:r w:rsidRPr="00425F29">
          <w:rPr>
            <w:rStyle w:val="Hyperlink"/>
          </w:rPr>
          <w:t>http://justice.gov.md/public/files/2018/transparenta_in_procesul_decizional/februarie/1381.pdf</w:t>
        </w:r>
      </w:hyperlink>
      <w:r>
        <w:t xml:space="preserve"> </w:t>
      </w:r>
    </w:p>
  </w:footnote>
  <w:footnote w:id="2">
    <w:p w:rsidR="00DA00C2" w:rsidRPr="00042854" w:rsidRDefault="00DA00C2" w:rsidP="00DA00C2">
      <w:pPr>
        <w:pStyle w:val="Textnotdesubsol"/>
      </w:pPr>
      <w:r>
        <w:rPr>
          <w:rStyle w:val="Referinnotdesubsol"/>
        </w:rPr>
        <w:footnoteRef/>
      </w:r>
      <w:r>
        <w:t xml:space="preserve"> </w:t>
      </w:r>
      <w:hyperlink r:id="rId2" w:history="1">
        <w:r w:rsidRPr="00425F29">
          <w:rPr>
            <w:rStyle w:val="Hyperlink"/>
          </w:rPr>
          <w:t>http://lex.justice.md/index.php?action=view&amp;view=doc&amp;lang=1&amp;id=371426</w:t>
        </w:r>
      </w:hyperlink>
      <w:r>
        <w:t xml:space="preserve"> </w:t>
      </w:r>
    </w:p>
  </w:footnote>
  <w:footnote w:id="3">
    <w:p w:rsidR="00DA00C2" w:rsidRPr="00403CCF" w:rsidRDefault="00DA00C2" w:rsidP="00DA00C2">
      <w:pPr>
        <w:pStyle w:val="Textnotdesubsol"/>
      </w:pPr>
      <w:r>
        <w:rPr>
          <w:rStyle w:val="Referinnotdesubsol"/>
        </w:rPr>
        <w:footnoteRef/>
      </w:r>
      <w:r>
        <w:t xml:space="preserve"> </w:t>
      </w:r>
      <w:hyperlink r:id="rId3" w:history="1">
        <w:r w:rsidRPr="00425F29">
          <w:rPr>
            <w:rStyle w:val="Hyperlink"/>
          </w:rPr>
          <w:t>http://justice.gov.md/public/files/2018/transparenta_in_procesul_decizional/februarie/NF_1381.pdf</w:t>
        </w:r>
      </w:hyperlink>
      <w:r>
        <w:t xml:space="preserve"> </w:t>
      </w:r>
    </w:p>
  </w:footnote>
  <w:footnote w:id="4">
    <w:p w:rsidR="00DA00C2" w:rsidRPr="002B6A7E" w:rsidRDefault="00DA00C2" w:rsidP="00DA00C2">
      <w:pPr>
        <w:pStyle w:val="Textnotdesubsol"/>
      </w:pPr>
      <w:r>
        <w:rPr>
          <w:rStyle w:val="Referinnotdesubsol"/>
        </w:rPr>
        <w:footnoteRef/>
      </w:r>
      <w:r>
        <w:t xml:space="preserve"> </w:t>
      </w:r>
      <w:hyperlink r:id="rId4" w:history="1">
        <w:r w:rsidRPr="00425F29">
          <w:rPr>
            <w:rStyle w:val="Hyperlink"/>
          </w:rPr>
          <w:t>http://lex.justice.md/index.php?action=view&amp;view=doc&amp;lang=1&amp;id=374245</w:t>
        </w:r>
      </w:hyperlink>
      <w:r>
        <w:t xml:space="preserve"> </w:t>
      </w:r>
    </w:p>
  </w:footnote>
  <w:footnote w:id="5">
    <w:p w:rsidR="00DA00C2" w:rsidRPr="00914179" w:rsidRDefault="00DA00C2" w:rsidP="00DA00C2">
      <w:pPr>
        <w:pStyle w:val="Textnotdesubsol"/>
      </w:pPr>
      <w:r>
        <w:rPr>
          <w:rStyle w:val="Referinnotdesubsol"/>
        </w:rPr>
        <w:footnoteRef/>
      </w:r>
      <w:r>
        <w:t xml:space="preserve"> </w:t>
      </w:r>
      <w:hyperlink r:id="rId5" w:history="1">
        <w:r w:rsidRPr="00425F29">
          <w:rPr>
            <w:rStyle w:val="Hyperlink"/>
          </w:rPr>
          <w:t>http://lex.justice.md/index.php?action=view&amp;view=doc&amp;lang=1&amp;id=343781</w:t>
        </w:r>
      </w:hyperlink>
      <w:r>
        <w:t xml:space="preserve"> </w:t>
      </w:r>
    </w:p>
  </w:footnote>
  <w:footnote w:id="6">
    <w:p w:rsidR="00DA00C2" w:rsidRPr="006645BB" w:rsidRDefault="00DA00C2" w:rsidP="00DA00C2">
      <w:pPr>
        <w:pStyle w:val="Textnotdesubsol"/>
      </w:pPr>
      <w:r>
        <w:rPr>
          <w:rStyle w:val="Referinnotdesubsol"/>
        </w:rPr>
        <w:footnoteRef/>
      </w:r>
      <w:r>
        <w:t xml:space="preserve"> </w:t>
      </w:r>
      <w:hyperlink r:id="rId6" w:history="1">
        <w:r w:rsidRPr="00425F29">
          <w:rPr>
            <w:rStyle w:val="Hyperlink"/>
          </w:rPr>
          <w:t>http://lex.justice.md/index.php?action=view&amp;view=doc&amp;lang=1&amp;id=354225</w:t>
        </w:r>
      </w:hyperlink>
      <w:r>
        <w:t xml:space="preserve"> </w:t>
      </w:r>
    </w:p>
  </w:footnote>
  <w:footnote w:id="7">
    <w:p w:rsidR="00DA00C2" w:rsidRPr="00920400" w:rsidRDefault="00DA00C2" w:rsidP="00DA00C2">
      <w:pPr>
        <w:pStyle w:val="Textnotdesubsol"/>
      </w:pPr>
      <w:r>
        <w:rPr>
          <w:rStyle w:val="Referinnotdesubsol"/>
        </w:rPr>
        <w:footnoteRef/>
      </w:r>
      <w:r>
        <w:t xml:space="preserve"> </w:t>
      </w:r>
      <w:hyperlink r:id="rId7" w:history="1">
        <w:r w:rsidRPr="00425F29">
          <w:rPr>
            <w:rStyle w:val="Hyperlink"/>
          </w:rPr>
          <w:t>http://lex.justice.md/index.php?action=view&amp;view=doc&amp;lang=1&amp;id=291748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V w:val="single" w:sz="4" w:space="0" w:color="auto"/>
      </w:tblBorders>
      <w:tblLook w:val="04A0" w:firstRow="1" w:lastRow="0" w:firstColumn="1" w:lastColumn="0" w:noHBand="0" w:noVBand="1"/>
    </w:tblPr>
    <w:tblGrid>
      <w:gridCol w:w="4928"/>
      <w:gridCol w:w="4642"/>
    </w:tblGrid>
    <w:tr w:rsidR="000A2200" w:rsidRPr="00983841" w:rsidTr="00AF130C">
      <w:trPr>
        <w:trHeight w:val="1270"/>
      </w:trPr>
      <w:tc>
        <w:tcPr>
          <w:tcW w:w="4928" w:type="dxa"/>
          <w:shd w:val="clear" w:color="auto" w:fill="auto"/>
        </w:tcPr>
        <w:p w:rsidR="000A2200" w:rsidRPr="00E4554B" w:rsidRDefault="000A2200" w:rsidP="00AF130C">
          <w:pPr>
            <w:pStyle w:val="Subsol"/>
            <w:spacing w:before="80" w:line="360" w:lineRule="auto"/>
            <w:rPr>
              <w:rFonts w:ascii="Cambria" w:hAnsi="Cambria"/>
              <w:sz w:val="20"/>
              <w:szCs w:val="20"/>
            </w:rPr>
          </w:pPr>
          <w:r>
            <w:rPr>
              <w:rFonts w:ascii="Cambria" w:hAnsi="Cambria"/>
              <w:noProof/>
              <w:sz w:val="20"/>
              <w:szCs w:val="20"/>
              <w:lang w:val="en-US"/>
            </w:rPr>
            <w:drawing>
              <wp:anchor distT="0" distB="0" distL="114300" distR="114300" simplePos="0" relativeHeight="251658240" behindDoc="1" locked="0" layoutInCell="1" allowOverlap="1">
                <wp:simplePos x="0" y="0"/>
                <wp:positionH relativeFrom="column">
                  <wp:posOffset>53340</wp:posOffset>
                </wp:positionH>
                <wp:positionV relativeFrom="paragraph">
                  <wp:align>center</wp:align>
                </wp:positionV>
                <wp:extent cx="891540" cy="899160"/>
                <wp:effectExtent l="0" t="0" r="3810" b="0"/>
                <wp:wrapThrough wrapText="bothSides">
                  <wp:wrapPolygon edited="0">
                    <wp:start x="0" y="0"/>
                    <wp:lineTo x="0" y="21051"/>
                    <wp:lineTo x="21231" y="21051"/>
                    <wp:lineTo x="21231" y="0"/>
                    <wp:lineTo x="0" y="0"/>
                  </wp:wrapPolygon>
                </wp:wrapThrough>
                <wp:docPr id="2" name="Imagine 2" descr="Logo 10-2017 a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0-2017 al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54B">
            <w:rPr>
              <w:rFonts w:ascii="Cambria" w:hAnsi="Cambria"/>
              <w:sz w:val="20"/>
              <w:szCs w:val="20"/>
            </w:rPr>
            <w:t xml:space="preserve">Comunitatea pentru </w:t>
          </w:r>
          <w:proofErr w:type="spellStart"/>
          <w:r w:rsidRPr="00E4554B">
            <w:rPr>
              <w:rFonts w:ascii="Cambria" w:hAnsi="Cambria"/>
              <w:sz w:val="20"/>
              <w:szCs w:val="20"/>
            </w:rPr>
            <w:t>advocacy</w:t>
          </w:r>
          <w:proofErr w:type="spellEnd"/>
          <w:r w:rsidRPr="00E4554B">
            <w:rPr>
              <w:rFonts w:ascii="Cambria" w:hAnsi="Cambria"/>
              <w:sz w:val="20"/>
              <w:szCs w:val="20"/>
            </w:rPr>
            <w:t xml:space="preserve"> şi politici publice </w:t>
          </w:r>
          <w:r>
            <w:rPr>
              <w:rFonts w:ascii="Cambria" w:hAnsi="Cambria"/>
              <w:sz w:val="20"/>
              <w:szCs w:val="20"/>
            </w:rPr>
            <w:t>„</w:t>
          </w:r>
          <w:proofErr w:type="spellStart"/>
          <w:r>
            <w:rPr>
              <w:rFonts w:ascii="Cambria" w:hAnsi="Cambria"/>
              <w:sz w:val="20"/>
              <w:szCs w:val="20"/>
            </w:rPr>
            <w:t>WatchDog.MD</w:t>
          </w:r>
          <w:proofErr w:type="spellEnd"/>
          <w:r>
            <w:rPr>
              <w:rFonts w:ascii="Cambria" w:hAnsi="Cambria"/>
              <w:sz w:val="20"/>
              <w:szCs w:val="20"/>
            </w:rPr>
            <w:t>”</w:t>
          </w:r>
        </w:p>
        <w:p w:rsidR="000A2200" w:rsidRPr="00983841" w:rsidRDefault="000A2200" w:rsidP="00AF130C">
          <w:pPr>
            <w:pStyle w:val="Subsol"/>
            <w:spacing w:before="80" w:line="360" w:lineRule="auto"/>
            <w:rPr>
              <w:rFonts w:ascii="Algerian" w:hAnsi="Algerian"/>
              <w:spacing w:val="26"/>
              <w:sz w:val="40"/>
              <w:szCs w:val="40"/>
            </w:rPr>
          </w:pPr>
          <w:r w:rsidRPr="00E4554B">
            <w:rPr>
              <w:rFonts w:ascii="Cambria" w:hAnsi="Cambria"/>
              <w:sz w:val="20"/>
              <w:szCs w:val="20"/>
            </w:rPr>
            <w:t>C.f. 1012620006381</w:t>
          </w:r>
        </w:p>
      </w:tc>
      <w:tc>
        <w:tcPr>
          <w:tcW w:w="4642" w:type="dxa"/>
          <w:shd w:val="clear" w:color="auto" w:fill="auto"/>
        </w:tcPr>
        <w:p w:rsidR="000A2200" w:rsidRDefault="000A2200" w:rsidP="00AF130C">
          <w:pPr>
            <w:pStyle w:val="Subsol"/>
            <w:spacing w:before="80" w:line="360" w:lineRule="auto"/>
            <w:rPr>
              <w:rFonts w:ascii="Cambria" w:hAnsi="Cambria"/>
              <w:sz w:val="20"/>
              <w:szCs w:val="20"/>
            </w:rPr>
          </w:pPr>
          <w:r w:rsidRPr="00E4554B">
            <w:rPr>
              <w:rFonts w:ascii="Cambria" w:hAnsi="Cambria"/>
              <w:sz w:val="20"/>
              <w:szCs w:val="20"/>
            </w:rPr>
            <w:t xml:space="preserve">Adresa juridică: str. A. </w:t>
          </w:r>
          <w:proofErr w:type="spellStart"/>
          <w:r w:rsidRPr="00E4554B">
            <w:rPr>
              <w:rFonts w:ascii="Cambria" w:hAnsi="Cambria"/>
              <w:sz w:val="20"/>
              <w:szCs w:val="20"/>
            </w:rPr>
            <w:t>Sciusev</w:t>
          </w:r>
          <w:proofErr w:type="spellEnd"/>
          <w:r w:rsidRPr="00E4554B">
            <w:rPr>
              <w:rFonts w:ascii="Cambria" w:hAnsi="Cambria"/>
              <w:sz w:val="20"/>
              <w:szCs w:val="20"/>
            </w:rPr>
            <w:t xml:space="preserve"> 68, Chişinău, Republica Moldova</w:t>
          </w:r>
        </w:p>
        <w:p w:rsidR="00AF35D8" w:rsidRPr="00E4554B" w:rsidRDefault="00510088" w:rsidP="00AF130C">
          <w:pPr>
            <w:pStyle w:val="Subsol"/>
            <w:spacing w:before="80" w:line="360" w:lineRule="auto"/>
            <w:rPr>
              <w:rFonts w:ascii="Cambria" w:hAnsi="Cambria"/>
              <w:sz w:val="20"/>
              <w:szCs w:val="20"/>
            </w:rPr>
          </w:pPr>
          <w:hyperlink r:id="rId2" w:history="1">
            <w:r w:rsidR="00AF35D8" w:rsidRPr="001D40C8">
              <w:rPr>
                <w:rStyle w:val="Hyperlink"/>
                <w:rFonts w:ascii="Cambria" w:hAnsi="Cambria"/>
                <w:sz w:val="20"/>
                <w:szCs w:val="20"/>
              </w:rPr>
              <w:t>www.watchdog.md</w:t>
            </w:r>
          </w:hyperlink>
          <w:r w:rsidR="00AF35D8">
            <w:rPr>
              <w:rFonts w:ascii="Cambria" w:hAnsi="Cambria"/>
              <w:sz w:val="20"/>
              <w:szCs w:val="20"/>
            </w:rPr>
            <w:t xml:space="preserve"> </w:t>
          </w:r>
        </w:p>
        <w:p w:rsidR="000A2200" w:rsidRDefault="000A2200" w:rsidP="00AF130C">
          <w:pPr>
            <w:pStyle w:val="Antet"/>
            <w:spacing w:line="360" w:lineRule="auto"/>
            <w:rPr>
              <w:rFonts w:ascii="Cambria" w:hAnsi="Cambria"/>
              <w:sz w:val="20"/>
              <w:szCs w:val="20"/>
            </w:rPr>
          </w:pPr>
          <w:r w:rsidRPr="00E4554B">
            <w:rPr>
              <w:rFonts w:ascii="Cambria" w:hAnsi="Cambria"/>
              <w:sz w:val="20"/>
              <w:szCs w:val="20"/>
            </w:rPr>
            <w:t xml:space="preserve">Tel: +373 </w:t>
          </w:r>
          <w:r w:rsidR="00C23476">
            <w:rPr>
              <w:rFonts w:ascii="Cambria" w:hAnsi="Cambria"/>
              <w:sz w:val="20"/>
              <w:szCs w:val="20"/>
            </w:rPr>
            <w:t>68 390 028</w:t>
          </w:r>
        </w:p>
        <w:p w:rsidR="000A2200" w:rsidRPr="00983841" w:rsidRDefault="00510088" w:rsidP="00AF130C">
          <w:pPr>
            <w:pStyle w:val="Antet"/>
            <w:spacing w:line="360" w:lineRule="auto"/>
            <w:rPr>
              <w:rFonts w:ascii="Algerian" w:hAnsi="Algerian"/>
              <w:spacing w:val="26"/>
              <w:sz w:val="40"/>
              <w:szCs w:val="40"/>
            </w:rPr>
          </w:pPr>
          <w:hyperlink r:id="rId3" w:history="1">
            <w:r w:rsidR="000A2200" w:rsidRPr="00EC51CB">
              <w:rPr>
                <w:rStyle w:val="Hyperlink"/>
                <w:rFonts w:ascii="Arial" w:hAnsi="Arial" w:cs="Arial"/>
                <w:sz w:val="19"/>
                <w:szCs w:val="19"/>
                <w:shd w:val="clear" w:color="auto" w:fill="FFFFFF"/>
              </w:rPr>
              <w:t>contact@watchdog.md</w:t>
            </w:r>
          </w:hyperlink>
          <w:r w:rsidR="000A2200">
            <w:rPr>
              <w:rFonts w:ascii="Arial" w:hAnsi="Arial" w:cs="Arial"/>
              <w:color w:val="555555"/>
              <w:sz w:val="19"/>
              <w:szCs w:val="19"/>
              <w:shd w:val="clear" w:color="auto" w:fill="FFFFFF"/>
            </w:rPr>
            <w:t xml:space="preserve"> </w:t>
          </w:r>
        </w:p>
      </w:tc>
    </w:tr>
  </w:tbl>
  <w:p w:rsidR="000A2200" w:rsidRDefault="000A220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738E"/>
    <w:multiLevelType w:val="hybridMultilevel"/>
    <w:tmpl w:val="3430882E"/>
    <w:lvl w:ilvl="0" w:tplc="22F2FF48">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00"/>
    <w:rsid w:val="000A2200"/>
    <w:rsid w:val="001618F2"/>
    <w:rsid w:val="001E4641"/>
    <w:rsid w:val="00256650"/>
    <w:rsid w:val="00276A9C"/>
    <w:rsid w:val="003B1B22"/>
    <w:rsid w:val="00415D07"/>
    <w:rsid w:val="00434974"/>
    <w:rsid w:val="00455CD6"/>
    <w:rsid w:val="004B33C6"/>
    <w:rsid w:val="00510088"/>
    <w:rsid w:val="00515DC9"/>
    <w:rsid w:val="00573B1E"/>
    <w:rsid w:val="00577A50"/>
    <w:rsid w:val="005D7D14"/>
    <w:rsid w:val="005E4677"/>
    <w:rsid w:val="006679D5"/>
    <w:rsid w:val="007065AC"/>
    <w:rsid w:val="007A4A2C"/>
    <w:rsid w:val="008D45AF"/>
    <w:rsid w:val="00AC5B34"/>
    <w:rsid w:val="00AF1F6E"/>
    <w:rsid w:val="00AF35D8"/>
    <w:rsid w:val="00B85153"/>
    <w:rsid w:val="00C23476"/>
    <w:rsid w:val="00C27DCF"/>
    <w:rsid w:val="00D15B41"/>
    <w:rsid w:val="00D35BD1"/>
    <w:rsid w:val="00DA00C2"/>
    <w:rsid w:val="00E07CB4"/>
    <w:rsid w:val="00E31F77"/>
    <w:rsid w:val="00EE58D2"/>
    <w:rsid w:val="00F134F3"/>
    <w:rsid w:val="00F14E24"/>
    <w:rsid w:val="00F61CF9"/>
    <w:rsid w:val="00F9711F"/>
    <w:rsid w:val="00FE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C2"/>
    <w:pPr>
      <w:spacing w:after="160" w:line="259"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A2200"/>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A2200"/>
    <w:rPr>
      <w:lang w:val="ro-RO"/>
    </w:rPr>
  </w:style>
  <w:style w:type="paragraph" w:styleId="Subsol">
    <w:name w:val="footer"/>
    <w:basedOn w:val="Normal"/>
    <w:link w:val="SubsolCaracter"/>
    <w:uiPriority w:val="99"/>
    <w:unhideWhenUsed/>
    <w:rsid w:val="000A2200"/>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A2200"/>
    <w:rPr>
      <w:lang w:val="ro-RO"/>
    </w:rPr>
  </w:style>
  <w:style w:type="character" w:styleId="Hyperlink">
    <w:name w:val="Hyperlink"/>
    <w:uiPriority w:val="99"/>
    <w:unhideWhenUsed/>
    <w:rsid w:val="000A2200"/>
    <w:rPr>
      <w:color w:val="0563C1"/>
      <w:u w:val="single"/>
    </w:rPr>
  </w:style>
  <w:style w:type="paragraph" w:styleId="Textnotdesubsol">
    <w:name w:val="footnote text"/>
    <w:basedOn w:val="Normal"/>
    <w:link w:val="TextnotdesubsolCaracter"/>
    <w:uiPriority w:val="99"/>
    <w:semiHidden/>
    <w:unhideWhenUsed/>
    <w:rsid w:val="00DA00C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DA00C2"/>
    <w:rPr>
      <w:sz w:val="20"/>
      <w:szCs w:val="20"/>
      <w:lang w:val="ro-RO"/>
    </w:rPr>
  </w:style>
  <w:style w:type="character" w:styleId="Referinnotdesubsol">
    <w:name w:val="footnote reference"/>
    <w:basedOn w:val="Fontdeparagrafimplicit"/>
    <w:uiPriority w:val="99"/>
    <w:semiHidden/>
    <w:unhideWhenUsed/>
    <w:rsid w:val="00DA00C2"/>
    <w:rPr>
      <w:vertAlign w:val="superscript"/>
    </w:rPr>
  </w:style>
  <w:style w:type="paragraph" w:styleId="Listparagraf">
    <w:name w:val="List Paragraph"/>
    <w:basedOn w:val="Normal"/>
    <w:uiPriority w:val="34"/>
    <w:qFormat/>
    <w:rsid w:val="00DA0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C2"/>
    <w:pPr>
      <w:spacing w:after="160" w:line="259"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A2200"/>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A2200"/>
    <w:rPr>
      <w:lang w:val="ro-RO"/>
    </w:rPr>
  </w:style>
  <w:style w:type="paragraph" w:styleId="Subsol">
    <w:name w:val="footer"/>
    <w:basedOn w:val="Normal"/>
    <w:link w:val="SubsolCaracter"/>
    <w:uiPriority w:val="99"/>
    <w:unhideWhenUsed/>
    <w:rsid w:val="000A2200"/>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A2200"/>
    <w:rPr>
      <w:lang w:val="ro-RO"/>
    </w:rPr>
  </w:style>
  <w:style w:type="character" w:styleId="Hyperlink">
    <w:name w:val="Hyperlink"/>
    <w:uiPriority w:val="99"/>
    <w:unhideWhenUsed/>
    <w:rsid w:val="000A2200"/>
    <w:rPr>
      <w:color w:val="0563C1"/>
      <w:u w:val="single"/>
    </w:rPr>
  </w:style>
  <w:style w:type="paragraph" w:styleId="Textnotdesubsol">
    <w:name w:val="footnote text"/>
    <w:basedOn w:val="Normal"/>
    <w:link w:val="TextnotdesubsolCaracter"/>
    <w:uiPriority w:val="99"/>
    <w:semiHidden/>
    <w:unhideWhenUsed/>
    <w:rsid w:val="00DA00C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DA00C2"/>
    <w:rPr>
      <w:sz w:val="20"/>
      <w:szCs w:val="20"/>
      <w:lang w:val="ro-RO"/>
    </w:rPr>
  </w:style>
  <w:style w:type="character" w:styleId="Referinnotdesubsol">
    <w:name w:val="footnote reference"/>
    <w:basedOn w:val="Fontdeparagrafimplicit"/>
    <w:uiPriority w:val="99"/>
    <w:semiHidden/>
    <w:unhideWhenUsed/>
    <w:rsid w:val="00DA00C2"/>
    <w:rPr>
      <w:vertAlign w:val="superscript"/>
    </w:rPr>
  </w:style>
  <w:style w:type="paragraph" w:styleId="Listparagraf">
    <w:name w:val="List Paragraph"/>
    <w:basedOn w:val="Normal"/>
    <w:uiPriority w:val="34"/>
    <w:qFormat/>
    <w:rsid w:val="00DA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ustice.gov.md/public/files/2018/transparenta_in_procesul_decizional/februarie/NF_1381.pdf" TargetMode="External"/><Relationship Id="rId7" Type="http://schemas.openxmlformats.org/officeDocument/2006/relationships/hyperlink" Target="http://lex.justice.md/index.php?action=view&amp;view=doc&amp;lang=1&amp;id=291748" TargetMode="External"/><Relationship Id="rId2" Type="http://schemas.openxmlformats.org/officeDocument/2006/relationships/hyperlink" Target="http://lex.justice.md/index.php?action=view&amp;view=doc&amp;lang=1&amp;id=371426" TargetMode="External"/><Relationship Id="rId1" Type="http://schemas.openxmlformats.org/officeDocument/2006/relationships/hyperlink" Target="http://justice.gov.md/public/files/2018/transparenta_in_procesul_decizional/februarie/1381.pdf" TargetMode="External"/><Relationship Id="rId6" Type="http://schemas.openxmlformats.org/officeDocument/2006/relationships/hyperlink" Target="http://lex.justice.md/index.php?action=view&amp;view=doc&amp;lang=1&amp;id=354225" TargetMode="External"/><Relationship Id="rId5" Type="http://schemas.openxmlformats.org/officeDocument/2006/relationships/hyperlink" Target="http://lex.justice.md/index.php?action=view&amp;view=doc&amp;lang=1&amp;id=343781" TargetMode="External"/><Relationship Id="rId4" Type="http://schemas.openxmlformats.org/officeDocument/2006/relationships/hyperlink" Target="http://lex.justice.md/index.php?action=view&amp;view=doc&amp;lang=1&amp;id=37424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watchdog.md" TargetMode="External"/><Relationship Id="rId2" Type="http://schemas.openxmlformats.org/officeDocument/2006/relationships/hyperlink" Target="http://www.watchdog.md"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2168</Words>
  <Characters>12360</Characters>
  <Application>Microsoft Office Word</Application>
  <DocSecurity>0</DocSecurity>
  <Lines>103</Lines>
  <Paragraphs>28</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Ionescu</dc:creator>
  <cp:lastModifiedBy>Ion Ionescu</cp:lastModifiedBy>
  <cp:revision>3</cp:revision>
  <dcterms:created xsi:type="dcterms:W3CDTF">2018-02-26T10:38:00Z</dcterms:created>
  <dcterms:modified xsi:type="dcterms:W3CDTF">2018-02-26T10:41:00Z</dcterms:modified>
</cp:coreProperties>
</file>