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EF" w:rsidRPr="0004095C" w:rsidRDefault="002761EF" w:rsidP="002761EF">
      <w:pPr>
        <w:jc w:val="both"/>
        <w:rPr>
          <w:rFonts w:ascii="Cambria" w:hAnsi="Cambria"/>
          <w:sz w:val="24"/>
          <w:szCs w:val="24"/>
          <w:lang w:val="ro-RO"/>
        </w:rPr>
      </w:pPr>
      <w:r w:rsidRPr="0004095C">
        <w:rPr>
          <w:rFonts w:ascii="Cambria" w:hAnsi="Cambria"/>
          <w:noProof/>
          <w:sz w:val="24"/>
          <w:szCs w:val="24"/>
        </w:rPr>
        <w:drawing>
          <wp:anchor distT="0" distB="0" distL="114300" distR="114300" simplePos="0" relativeHeight="251659264" behindDoc="1" locked="0" layoutInCell="1" allowOverlap="1" wp14:anchorId="357F7017" wp14:editId="74FBFAFE">
            <wp:simplePos x="0" y="0"/>
            <wp:positionH relativeFrom="column">
              <wp:posOffset>0</wp:posOffset>
            </wp:positionH>
            <wp:positionV relativeFrom="paragraph">
              <wp:posOffset>285750</wp:posOffset>
            </wp:positionV>
            <wp:extent cx="1419225" cy="632460"/>
            <wp:effectExtent l="0" t="0" r="9525" b="0"/>
            <wp:wrapThrough wrapText="bothSides">
              <wp:wrapPolygon edited="0">
                <wp:start x="5509" y="0"/>
                <wp:lineTo x="4059" y="3904"/>
                <wp:lineTo x="2899" y="8458"/>
                <wp:lineTo x="1450" y="15614"/>
                <wp:lineTo x="0" y="20169"/>
                <wp:lineTo x="0" y="20819"/>
                <wp:lineTo x="21455" y="20819"/>
                <wp:lineTo x="21455" y="17566"/>
                <wp:lineTo x="18266" y="10410"/>
                <wp:lineTo x="16816" y="10410"/>
                <wp:lineTo x="17396" y="4554"/>
                <wp:lineTo x="15077" y="1952"/>
                <wp:lineTo x="6958" y="0"/>
                <wp:lineTo x="5509" y="0"/>
              </wp:wrapPolygon>
            </wp:wrapThrough>
            <wp:docPr id="1" name="Picture 1" descr="D:\User\Desktop\NDI PROJECT\logo EaP  NP-Mold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NDI PROJECT\logo EaP  NP-Moldov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95C">
        <w:rPr>
          <w:rFonts w:ascii="Cambria" w:hAnsi="Cambria"/>
          <w:noProof/>
          <w:sz w:val="24"/>
          <w:szCs w:val="24"/>
        </w:rPr>
        <w:drawing>
          <wp:anchor distT="0" distB="0" distL="114300" distR="114300" simplePos="0" relativeHeight="251660288" behindDoc="1" locked="0" layoutInCell="1" allowOverlap="1" wp14:anchorId="01D8DDE9" wp14:editId="77C5DC07">
            <wp:simplePos x="0" y="0"/>
            <wp:positionH relativeFrom="column">
              <wp:posOffset>4202430</wp:posOffset>
            </wp:positionH>
            <wp:positionV relativeFrom="paragraph">
              <wp:posOffset>289560</wp:posOffset>
            </wp:positionV>
            <wp:extent cx="2131060" cy="628650"/>
            <wp:effectExtent l="0" t="0" r="2540" b="0"/>
            <wp:wrapThrough wrapText="bothSides">
              <wp:wrapPolygon edited="0">
                <wp:start x="0" y="0"/>
                <wp:lineTo x="0" y="20945"/>
                <wp:lineTo x="21433" y="20945"/>
                <wp:lineTo x="21433" y="0"/>
                <wp:lineTo x="0" y="0"/>
              </wp:wrapPolygon>
            </wp:wrapThrough>
            <wp:docPr id="2" name="Picture 2" descr="D:\User\Desktop\NDI PROJEC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NDI PROJEC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106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EF" w:rsidRPr="0004095C" w:rsidRDefault="002761EF" w:rsidP="002761EF">
      <w:pPr>
        <w:jc w:val="both"/>
        <w:rPr>
          <w:rFonts w:ascii="Cambria" w:hAnsi="Cambria"/>
          <w:sz w:val="24"/>
          <w:szCs w:val="24"/>
          <w:lang w:val="ro-RO"/>
        </w:rPr>
      </w:pPr>
    </w:p>
    <w:p w:rsidR="002761EF" w:rsidRPr="0004095C" w:rsidRDefault="002761EF" w:rsidP="002761EF">
      <w:pPr>
        <w:jc w:val="both"/>
        <w:rPr>
          <w:rFonts w:ascii="Cambria" w:hAnsi="Cambria"/>
          <w:sz w:val="24"/>
          <w:szCs w:val="24"/>
          <w:lang w:val="ro-RO"/>
        </w:rPr>
      </w:pPr>
    </w:p>
    <w:p w:rsidR="002761EF" w:rsidRPr="0004095C" w:rsidRDefault="002761EF" w:rsidP="002761EF">
      <w:pPr>
        <w:jc w:val="both"/>
        <w:rPr>
          <w:rFonts w:ascii="Cambria" w:hAnsi="Cambria"/>
          <w:sz w:val="24"/>
          <w:szCs w:val="24"/>
          <w:lang w:val="ro-RO"/>
        </w:rPr>
      </w:pPr>
    </w:p>
    <w:p w:rsidR="002761EF" w:rsidRPr="0004095C" w:rsidRDefault="002761EF" w:rsidP="002761EF">
      <w:pPr>
        <w:jc w:val="both"/>
        <w:rPr>
          <w:rFonts w:ascii="Cambria" w:hAnsi="Cambria"/>
          <w:sz w:val="24"/>
          <w:szCs w:val="24"/>
          <w:lang w:val="ro-RO"/>
        </w:rPr>
      </w:pPr>
    </w:p>
    <w:p w:rsidR="006413BF" w:rsidRPr="00AB7799" w:rsidRDefault="0032005E" w:rsidP="006413BF">
      <w:pPr>
        <w:jc w:val="center"/>
        <w:rPr>
          <w:rStyle w:val="Strong"/>
          <w:rFonts w:ascii="Cambria" w:hAnsi="Cambria" w:cs="Arial"/>
          <w:color w:val="333333"/>
          <w:sz w:val="24"/>
          <w:szCs w:val="24"/>
          <w:shd w:val="clear" w:color="auto" w:fill="FFFFFF"/>
          <w:lang w:val="en-GB"/>
        </w:rPr>
      </w:pPr>
      <w:bookmarkStart w:id="0" w:name="_GoBack"/>
      <w:bookmarkEnd w:id="0"/>
      <w:r w:rsidRPr="00AB7799">
        <w:rPr>
          <w:rStyle w:val="Strong"/>
          <w:rFonts w:ascii="Cambria" w:hAnsi="Cambria" w:cs="Arial"/>
          <w:color w:val="333333"/>
          <w:sz w:val="24"/>
          <w:szCs w:val="24"/>
          <w:shd w:val="clear" w:color="auto" w:fill="FFFFFF"/>
          <w:lang w:val="en-GB"/>
        </w:rPr>
        <w:t>DECLARATION</w:t>
      </w:r>
      <w:r w:rsidR="006B3889" w:rsidRPr="00AB7799">
        <w:rPr>
          <w:rStyle w:val="Strong"/>
          <w:rFonts w:ascii="Cambria" w:hAnsi="Cambria" w:cs="Arial"/>
          <w:color w:val="333333"/>
          <w:sz w:val="24"/>
          <w:szCs w:val="24"/>
          <w:shd w:val="clear" w:color="auto" w:fill="FFFFFF"/>
          <w:lang w:val="en-GB"/>
        </w:rPr>
        <w:t xml:space="preserve"> </w:t>
      </w:r>
    </w:p>
    <w:p w:rsidR="0031077D" w:rsidRPr="00AB7799" w:rsidRDefault="0032005E" w:rsidP="0031077D">
      <w:pPr>
        <w:rPr>
          <w:rStyle w:val="Strong"/>
          <w:rFonts w:ascii="Cambria" w:hAnsi="Cambria" w:cs="Arial"/>
          <w:b w:val="0"/>
          <w:i/>
          <w:color w:val="333333"/>
          <w:sz w:val="24"/>
          <w:szCs w:val="24"/>
          <w:shd w:val="clear" w:color="auto" w:fill="FFFFFF"/>
          <w:lang w:val="en-GB"/>
        </w:rPr>
      </w:pPr>
      <w:r w:rsidRPr="00AB7799">
        <w:rPr>
          <w:rStyle w:val="Strong"/>
          <w:rFonts w:ascii="Cambria" w:hAnsi="Cambria" w:cs="Arial"/>
          <w:b w:val="0"/>
          <w:i/>
          <w:color w:val="333333"/>
          <w:sz w:val="24"/>
          <w:szCs w:val="24"/>
          <w:shd w:val="clear" w:color="auto" w:fill="FFFFFF"/>
          <w:lang w:val="en-GB"/>
        </w:rPr>
        <w:t xml:space="preserve">March 14, </w:t>
      </w:r>
      <w:r w:rsidR="0031077D" w:rsidRPr="00AB7799">
        <w:rPr>
          <w:rStyle w:val="Strong"/>
          <w:rFonts w:ascii="Cambria" w:hAnsi="Cambria" w:cs="Arial"/>
          <w:b w:val="0"/>
          <w:i/>
          <w:color w:val="333333"/>
          <w:sz w:val="24"/>
          <w:szCs w:val="24"/>
          <w:shd w:val="clear" w:color="auto" w:fill="FFFFFF"/>
          <w:lang w:val="en-GB"/>
        </w:rPr>
        <w:t>2018</w:t>
      </w:r>
    </w:p>
    <w:p w:rsidR="0032005E" w:rsidRPr="00AB7799" w:rsidRDefault="0032005E" w:rsidP="00DB5E08">
      <w:pPr>
        <w:jc w:val="both"/>
        <w:rPr>
          <w:rStyle w:val="Strong"/>
          <w:rFonts w:ascii="Cambria" w:hAnsi="Cambria" w:cs="Arial"/>
          <w:color w:val="333333"/>
          <w:sz w:val="24"/>
          <w:szCs w:val="24"/>
          <w:shd w:val="clear" w:color="auto" w:fill="FFFFFF"/>
          <w:lang w:val="en-GB"/>
        </w:rPr>
      </w:pPr>
      <w:r w:rsidRPr="00AB7799">
        <w:rPr>
          <w:rStyle w:val="Strong"/>
          <w:rFonts w:ascii="Cambria" w:hAnsi="Cambria" w:cs="Arial"/>
          <w:color w:val="333333"/>
          <w:sz w:val="24"/>
          <w:szCs w:val="24"/>
          <w:shd w:val="clear" w:color="auto" w:fill="FFFFFF"/>
          <w:lang w:val="en-GB"/>
        </w:rPr>
        <w:t xml:space="preserve">We, the organisations of the National Platform of the Eastern Partnership Civil Society Forum, </w:t>
      </w:r>
      <w:r w:rsidR="00AB7799" w:rsidRPr="00AB7799">
        <w:rPr>
          <w:rStyle w:val="Strong"/>
          <w:rFonts w:ascii="Cambria" w:hAnsi="Cambria" w:cs="Arial"/>
          <w:color w:val="333333"/>
          <w:sz w:val="24"/>
          <w:szCs w:val="24"/>
          <w:shd w:val="clear" w:color="auto" w:fill="FFFFFF"/>
          <w:lang w:val="en-GB"/>
        </w:rPr>
        <w:t>signatories to</w:t>
      </w:r>
      <w:r w:rsidR="00AB7799">
        <w:rPr>
          <w:rStyle w:val="Strong"/>
          <w:rFonts w:ascii="Cambria" w:hAnsi="Cambria" w:cs="Arial"/>
          <w:color w:val="333333"/>
          <w:sz w:val="24"/>
          <w:szCs w:val="24"/>
          <w:shd w:val="clear" w:color="auto" w:fill="FFFFFF"/>
          <w:lang w:val="en-GB"/>
        </w:rPr>
        <w:t xml:space="preserve"> the Declaration, are deeply di</w:t>
      </w:r>
      <w:r w:rsidR="00AB7799" w:rsidRPr="00AB7799">
        <w:rPr>
          <w:rStyle w:val="Strong"/>
          <w:rFonts w:ascii="Cambria" w:hAnsi="Cambria" w:cs="Arial"/>
          <w:color w:val="333333"/>
          <w:sz w:val="24"/>
          <w:szCs w:val="24"/>
          <w:shd w:val="clear" w:color="auto" w:fill="FFFFFF"/>
          <w:lang w:val="en-GB"/>
        </w:rPr>
        <w:t>sap</w:t>
      </w:r>
      <w:r w:rsidR="00AB7799">
        <w:rPr>
          <w:rStyle w:val="Strong"/>
          <w:rFonts w:ascii="Cambria" w:hAnsi="Cambria" w:cs="Arial"/>
          <w:color w:val="333333"/>
          <w:sz w:val="24"/>
          <w:szCs w:val="24"/>
          <w:shd w:val="clear" w:color="auto" w:fill="FFFFFF"/>
          <w:lang w:val="en-GB"/>
        </w:rPr>
        <w:t>p</w:t>
      </w:r>
      <w:r w:rsidR="00AB7799" w:rsidRPr="00AB7799">
        <w:rPr>
          <w:rStyle w:val="Strong"/>
          <w:rFonts w:ascii="Cambria" w:hAnsi="Cambria" w:cs="Arial"/>
          <w:color w:val="333333"/>
          <w:sz w:val="24"/>
          <w:szCs w:val="24"/>
          <w:shd w:val="clear" w:color="auto" w:fill="FFFFFF"/>
          <w:lang w:val="en-GB"/>
        </w:rPr>
        <w:t xml:space="preserve">ointed </w:t>
      </w:r>
      <w:r w:rsidR="00DE7F80">
        <w:rPr>
          <w:rStyle w:val="Strong"/>
          <w:rFonts w:ascii="Cambria" w:hAnsi="Cambria" w:cs="Arial"/>
          <w:color w:val="333333"/>
          <w:sz w:val="24"/>
          <w:szCs w:val="24"/>
          <w:shd w:val="clear" w:color="auto" w:fill="FFFFFF"/>
          <w:lang w:val="en-GB"/>
        </w:rPr>
        <w:t xml:space="preserve">and concerned about the </w:t>
      </w:r>
      <w:r w:rsidR="00DE7F80" w:rsidRPr="00DE7F80">
        <w:rPr>
          <w:rStyle w:val="Strong"/>
          <w:rFonts w:ascii="Cambria" w:hAnsi="Cambria" w:cs="Arial"/>
          <w:color w:val="333333"/>
          <w:sz w:val="24"/>
          <w:szCs w:val="24"/>
          <w:shd w:val="clear" w:color="auto" w:fill="FFFFFF"/>
          <w:lang w:val="en-GB"/>
        </w:rPr>
        <w:t xml:space="preserve">increasing tendencies of unjustified limitation of the right of Moldovan citizens to initiate and conduct legislative referenda. We </w:t>
      </w:r>
      <w:r w:rsidR="00AB2BE9">
        <w:rPr>
          <w:rStyle w:val="Strong"/>
          <w:rFonts w:ascii="Cambria" w:hAnsi="Cambria" w:cs="Arial"/>
          <w:color w:val="333333"/>
          <w:sz w:val="24"/>
          <w:szCs w:val="24"/>
          <w:shd w:val="clear" w:color="auto" w:fill="FFFFFF"/>
          <w:lang w:val="en-GB"/>
        </w:rPr>
        <w:t>believe</w:t>
      </w:r>
      <w:r w:rsidR="00DE7F80" w:rsidRPr="00DE7F80">
        <w:rPr>
          <w:rStyle w:val="Strong"/>
          <w:rFonts w:ascii="Cambria" w:hAnsi="Cambria" w:cs="Arial"/>
          <w:color w:val="333333"/>
          <w:sz w:val="24"/>
          <w:szCs w:val="24"/>
          <w:shd w:val="clear" w:color="auto" w:fill="FFFFFF"/>
          <w:lang w:val="en-GB"/>
        </w:rPr>
        <w:t xml:space="preserve"> </w:t>
      </w:r>
      <w:r w:rsidR="00AB2BE9">
        <w:rPr>
          <w:rStyle w:val="Strong"/>
          <w:rFonts w:ascii="Cambria" w:hAnsi="Cambria" w:cs="Arial"/>
          <w:color w:val="333333"/>
          <w:sz w:val="24"/>
          <w:szCs w:val="24"/>
          <w:shd w:val="clear" w:color="auto" w:fill="FFFFFF"/>
          <w:lang w:val="en-GB"/>
        </w:rPr>
        <w:t>that the</w:t>
      </w:r>
      <w:r w:rsidR="00DE7F80" w:rsidRPr="00DE7F80">
        <w:rPr>
          <w:rStyle w:val="Strong"/>
          <w:rFonts w:ascii="Cambria" w:hAnsi="Cambria" w:cs="Arial"/>
          <w:color w:val="333333"/>
          <w:sz w:val="24"/>
          <w:szCs w:val="24"/>
          <w:shd w:val="clear" w:color="auto" w:fill="FFFFFF"/>
          <w:lang w:val="en-GB"/>
        </w:rPr>
        <w:t xml:space="preserve"> law</w:t>
      </w:r>
      <w:r w:rsidR="00AB2BE9">
        <w:rPr>
          <w:rStyle w:val="Strong"/>
          <w:rFonts w:ascii="Cambria" w:hAnsi="Cambria" w:cs="Arial"/>
          <w:color w:val="333333"/>
          <w:sz w:val="24"/>
          <w:szCs w:val="24"/>
          <w:shd w:val="clear" w:color="auto" w:fill="FFFFFF"/>
          <w:lang w:val="en-GB"/>
        </w:rPr>
        <w:t xml:space="preserve"> does not provide for such a limitation</w:t>
      </w:r>
      <w:r w:rsidR="00DE7F80" w:rsidRPr="00DE7F80">
        <w:rPr>
          <w:rStyle w:val="Strong"/>
          <w:rFonts w:ascii="Cambria" w:hAnsi="Cambria" w:cs="Arial"/>
          <w:color w:val="333333"/>
          <w:sz w:val="24"/>
          <w:szCs w:val="24"/>
          <w:shd w:val="clear" w:color="auto" w:fill="FFFFFF"/>
          <w:lang w:val="en-GB"/>
        </w:rPr>
        <w:t xml:space="preserve"> and</w:t>
      </w:r>
      <w:r w:rsidR="00AB2BE9">
        <w:rPr>
          <w:rStyle w:val="Strong"/>
          <w:rFonts w:ascii="Cambria" w:hAnsi="Cambria" w:cs="Arial"/>
          <w:color w:val="333333"/>
          <w:sz w:val="24"/>
          <w:szCs w:val="24"/>
          <w:shd w:val="clear" w:color="auto" w:fill="FFFFFF"/>
          <w:lang w:val="en-GB"/>
        </w:rPr>
        <w:t xml:space="preserve"> a democratic society does not need it.</w:t>
      </w:r>
    </w:p>
    <w:p w:rsidR="0032005E" w:rsidRDefault="00AB2BE9" w:rsidP="002520F2">
      <w:pPr>
        <w:jc w:val="both"/>
        <w:rPr>
          <w:rStyle w:val="Strong"/>
          <w:rFonts w:ascii="Cambria" w:hAnsi="Cambria" w:cs="Arial"/>
          <w:b w:val="0"/>
          <w:color w:val="333333"/>
          <w:sz w:val="24"/>
          <w:szCs w:val="24"/>
          <w:shd w:val="clear" w:color="auto" w:fill="FFFFFF"/>
          <w:lang w:val="en-GB"/>
        </w:rPr>
      </w:pPr>
      <w:r>
        <w:rPr>
          <w:rStyle w:val="Strong"/>
          <w:rFonts w:ascii="Cambria" w:hAnsi="Cambria" w:cs="Arial"/>
          <w:b w:val="0"/>
          <w:color w:val="333333"/>
          <w:sz w:val="24"/>
          <w:szCs w:val="24"/>
          <w:shd w:val="clear" w:color="auto" w:fill="FFFFFF"/>
          <w:lang w:val="en-GB"/>
        </w:rPr>
        <w:t xml:space="preserve">The current national legislation of the Republic of Moldova provides for the right of the citizens to initiate republican and constitutional referenda. Article 155 of the Electoral Code stipulates that the </w:t>
      </w:r>
      <w:r w:rsidR="00A15D37">
        <w:rPr>
          <w:rStyle w:val="Strong"/>
          <w:rFonts w:ascii="Cambria" w:hAnsi="Cambria" w:cs="Arial"/>
          <w:b w:val="0"/>
          <w:color w:val="333333"/>
          <w:sz w:val="24"/>
          <w:szCs w:val="24"/>
          <w:shd w:val="clear" w:color="auto" w:fill="FFFFFF"/>
          <w:lang w:val="en-GB"/>
        </w:rPr>
        <w:t>republican referendum may be, inter alia</w:t>
      </w:r>
      <w:r w:rsidR="00A15D37">
        <w:rPr>
          <w:rStyle w:val="FootnoteReference"/>
          <w:rFonts w:ascii="Cambria" w:hAnsi="Cambria" w:cs="Arial"/>
          <w:bCs/>
          <w:color w:val="333333"/>
          <w:sz w:val="24"/>
          <w:szCs w:val="24"/>
          <w:shd w:val="clear" w:color="auto" w:fill="FFFFFF"/>
          <w:lang w:val="en-GB"/>
        </w:rPr>
        <w:footnoteReference w:id="1"/>
      </w:r>
      <w:r w:rsidR="00A15D37">
        <w:rPr>
          <w:rStyle w:val="Strong"/>
          <w:rFonts w:ascii="Cambria" w:hAnsi="Cambria" w:cs="Arial"/>
          <w:b w:val="0"/>
          <w:color w:val="333333"/>
          <w:sz w:val="24"/>
          <w:szCs w:val="24"/>
          <w:shd w:val="clear" w:color="auto" w:fill="FFFFFF"/>
          <w:lang w:val="en-GB"/>
        </w:rPr>
        <w:t xml:space="preserve">, initiated by at </w:t>
      </w:r>
      <w:r w:rsidR="00F23815">
        <w:rPr>
          <w:rStyle w:val="Strong"/>
          <w:rFonts w:ascii="Cambria" w:hAnsi="Cambria" w:cs="Arial"/>
          <w:b w:val="0"/>
          <w:color w:val="333333"/>
          <w:sz w:val="24"/>
          <w:szCs w:val="24"/>
          <w:shd w:val="clear" w:color="auto" w:fill="FFFFFF"/>
          <w:lang w:val="en-GB"/>
        </w:rPr>
        <w:t>least 200.</w:t>
      </w:r>
      <w:r w:rsidR="00A15D37" w:rsidRPr="00A15D37">
        <w:rPr>
          <w:rStyle w:val="Strong"/>
          <w:rFonts w:ascii="Cambria" w:hAnsi="Cambria" w:cs="Arial"/>
          <w:b w:val="0"/>
          <w:color w:val="333333"/>
          <w:sz w:val="24"/>
          <w:szCs w:val="24"/>
          <w:shd w:val="clear" w:color="auto" w:fill="FFFFFF"/>
          <w:lang w:val="en-GB"/>
        </w:rPr>
        <w:t>000 citizens of the Republic of Moldova eligible to vote</w:t>
      </w:r>
      <w:r w:rsidR="003622EB">
        <w:rPr>
          <w:rStyle w:val="Strong"/>
          <w:rFonts w:ascii="Cambria" w:hAnsi="Cambria" w:cs="Arial"/>
          <w:b w:val="0"/>
          <w:color w:val="333333"/>
          <w:sz w:val="24"/>
          <w:szCs w:val="24"/>
          <w:shd w:val="clear" w:color="auto" w:fill="FFFFFF"/>
          <w:lang w:val="en-GB"/>
        </w:rPr>
        <w:t xml:space="preserve">. </w:t>
      </w:r>
      <w:r w:rsidR="0023046D">
        <w:rPr>
          <w:rStyle w:val="Strong"/>
          <w:rFonts w:ascii="Cambria" w:hAnsi="Cambria" w:cs="Arial"/>
          <w:b w:val="0"/>
          <w:color w:val="333333"/>
          <w:sz w:val="24"/>
          <w:szCs w:val="24"/>
          <w:shd w:val="clear" w:color="auto" w:fill="FFFFFF"/>
          <w:lang w:val="en-GB"/>
        </w:rPr>
        <w:t xml:space="preserve">In case of </w:t>
      </w:r>
      <w:r w:rsidR="0023046D" w:rsidRPr="0023046D">
        <w:rPr>
          <w:rStyle w:val="Strong"/>
          <w:rFonts w:ascii="Cambria" w:hAnsi="Cambria" w:cs="Arial"/>
          <w:b w:val="0"/>
          <w:color w:val="333333"/>
          <w:sz w:val="24"/>
          <w:szCs w:val="24"/>
          <w:shd w:val="clear" w:color="auto" w:fill="FFFFFF"/>
          <w:lang w:val="en-GB"/>
        </w:rPr>
        <w:t>constitutional referendum, provisions of Article 141</w:t>
      </w:r>
      <w:r w:rsidR="0023046D">
        <w:rPr>
          <w:rStyle w:val="Strong"/>
          <w:rFonts w:ascii="Cambria" w:hAnsi="Cambria" w:cs="Arial"/>
          <w:b w:val="0"/>
          <w:color w:val="333333"/>
          <w:sz w:val="24"/>
          <w:szCs w:val="24"/>
          <w:shd w:val="clear" w:color="auto" w:fill="FFFFFF"/>
          <w:lang w:val="en-GB"/>
        </w:rPr>
        <w:t xml:space="preserve"> letter a) paragraph (1) of the Constitution shall be applied. According to this article, the citizens initiating the re</w:t>
      </w:r>
      <w:r w:rsidR="002520F2">
        <w:rPr>
          <w:rStyle w:val="Strong"/>
          <w:rFonts w:ascii="Cambria" w:hAnsi="Cambria" w:cs="Arial"/>
          <w:b w:val="0"/>
          <w:color w:val="333333"/>
          <w:sz w:val="24"/>
          <w:szCs w:val="24"/>
          <w:shd w:val="clear" w:color="auto" w:fill="FFFFFF"/>
          <w:lang w:val="en-GB"/>
        </w:rPr>
        <w:t>view of the Constitution have to</w:t>
      </w:r>
      <w:r w:rsidR="002520F2" w:rsidRPr="002520F2">
        <w:rPr>
          <w:rStyle w:val="Strong"/>
          <w:rFonts w:ascii="Cambria" w:hAnsi="Cambria" w:cs="Arial"/>
          <w:b w:val="0"/>
          <w:color w:val="333333"/>
          <w:sz w:val="24"/>
          <w:szCs w:val="24"/>
          <w:shd w:val="clear" w:color="auto" w:fill="FFFFFF"/>
          <w:lang w:val="en-GB"/>
        </w:rPr>
        <w:t xml:space="preserve"> come from at least half of the</w:t>
      </w:r>
      <w:r w:rsidR="006A684D">
        <w:rPr>
          <w:rStyle w:val="Strong"/>
          <w:rFonts w:ascii="Cambria" w:hAnsi="Cambria" w:cs="Arial"/>
          <w:b w:val="0"/>
          <w:color w:val="333333"/>
          <w:sz w:val="24"/>
          <w:szCs w:val="24"/>
          <w:shd w:val="clear" w:color="auto" w:fill="FFFFFF"/>
          <w:lang w:val="en-GB"/>
        </w:rPr>
        <w:t xml:space="preserve"> second level territorial-administrative</w:t>
      </w:r>
      <w:r w:rsidR="006A684D" w:rsidRPr="002520F2">
        <w:rPr>
          <w:rStyle w:val="Strong"/>
          <w:rFonts w:ascii="Cambria" w:hAnsi="Cambria" w:cs="Arial"/>
          <w:b w:val="0"/>
          <w:color w:val="333333"/>
          <w:sz w:val="24"/>
          <w:szCs w:val="24"/>
          <w:shd w:val="clear" w:color="auto" w:fill="FFFFFF"/>
          <w:lang w:val="en-GB"/>
        </w:rPr>
        <w:t xml:space="preserve"> </w:t>
      </w:r>
      <w:r w:rsidR="002520F2" w:rsidRPr="002520F2">
        <w:rPr>
          <w:rStyle w:val="Strong"/>
          <w:rFonts w:ascii="Cambria" w:hAnsi="Cambria" w:cs="Arial"/>
          <w:b w:val="0"/>
          <w:color w:val="333333"/>
          <w:sz w:val="24"/>
          <w:szCs w:val="24"/>
          <w:shd w:val="clear" w:color="auto" w:fill="FFFFFF"/>
          <w:lang w:val="en-GB"/>
        </w:rPr>
        <w:t>units and at least 20</w:t>
      </w:r>
      <w:r w:rsidR="00F23815">
        <w:rPr>
          <w:rStyle w:val="Strong"/>
          <w:rFonts w:ascii="Cambria" w:hAnsi="Cambria" w:cs="Arial"/>
          <w:b w:val="0"/>
          <w:color w:val="333333"/>
          <w:sz w:val="24"/>
          <w:szCs w:val="24"/>
          <w:shd w:val="clear" w:color="auto" w:fill="FFFFFF"/>
          <w:lang w:val="en-GB"/>
        </w:rPr>
        <w:t>.</w:t>
      </w:r>
      <w:r w:rsidR="002520F2" w:rsidRPr="002520F2">
        <w:rPr>
          <w:rStyle w:val="Strong"/>
          <w:rFonts w:ascii="Cambria" w:hAnsi="Cambria" w:cs="Arial"/>
          <w:b w:val="0"/>
          <w:color w:val="333333"/>
          <w:sz w:val="24"/>
          <w:szCs w:val="24"/>
          <w:shd w:val="clear" w:color="auto" w:fill="FFFFFF"/>
          <w:lang w:val="en-GB"/>
        </w:rPr>
        <w:t>000 signatures must be registered</w:t>
      </w:r>
      <w:r w:rsidR="006A684D" w:rsidRPr="002520F2">
        <w:rPr>
          <w:rStyle w:val="Strong"/>
          <w:rFonts w:ascii="Cambria" w:hAnsi="Cambria" w:cs="Arial"/>
          <w:b w:val="0"/>
          <w:color w:val="333333"/>
          <w:sz w:val="24"/>
          <w:szCs w:val="24"/>
          <w:shd w:val="clear" w:color="auto" w:fill="FFFFFF"/>
          <w:lang w:val="en-GB"/>
        </w:rPr>
        <w:t xml:space="preserve"> in each of them</w:t>
      </w:r>
      <w:r w:rsidR="002520F2" w:rsidRPr="002520F2">
        <w:rPr>
          <w:rStyle w:val="Strong"/>
          <w:rFonts w:ascii="Cambria" w:hAnsi="Cambria" w:cs="Arial"/>
          <w:b w:val="0"/>
          <w:color w:val="333333"/>
          <w:sz w:val="24"/>
          <w:szCs w:val="24"/>
          <w:shd w:val="clear" w:color="auto" w:fill="FFFFFF"/>
          <w:lang w:val="en-GB"/>
        </w:rPr>
        <w:t xml:space="preserve"> in support of this initiative. Thus,</w:t>
      </w:r>
      <w:r w:rsidR="00910835">
        <w:rPr>
          <w:rStyle w:val="Strong"/>
          <w:rFonts w:ascii="Cambria" w:hAnsi="Cambria" w:cs="Arial"/>
          <w:b w:val="0"/>
          <w:color w:val="333333"/>
          <w:sz w:val="24"/>
          <w:szCs w:val="24"/>
          <w:shd w:val="clear" w:color="auto" w:fill="FFFFFF"/>
          <w:lang w:val="en-GB"/>
        </w:rPr>
        <w:t xml:space="preserve"> finding the present existence of at least 36 territorial-</w:t>
      </w:r>
      <w:r w:rsidR="002520F2" w:rsidRPr="002520F2">
        <w:rPr>
          <w:rStyle w:val="Strong"/>
          <w:rFonts w:ascii="Cambria" w:hAnsi="Cambria" w:cs="Arial"/>
          <w:b w:val="0"/>
          <w:color w:val="333333"/>
          <w:sz w:val="24"/>
          <w:szCs w:val="24"/>
          <w:shd w:val="clear" w:color="auto" w:fill="FFFFFF"/>
          <w:lang w:val="en-GB"/>
        </w:rPr>
        <w:t>administrative units of the second level</w:t>
      </w:r>
      <w:r w:rsidR="00203087">
        <w:rPr>
          <w:rStyle w:val="FootnoteReference"/>
          <w:rFonts w:ascii="Cambria" w:hAnsi="Cambria" w:cs="Arial"/>
          <w:bCs/>
          <w:color w:val="333333"/>
          <w:sz w:val="24"/>
          <w:szCs w:val="24"/>
          <w:shd w:val="clear" w:color="auto" w:fill="FFFFFF"/>
          <w:lang w:val="en-GB"/>
        </w:rPr>
        <w:footnoteReference w:id="2"/>
      </w:r>
      <w:r w:rsidR="007A4FD8">
        <w:rPr>
          <w:rStyle w:val="Strong"/>
          <w:rFonts w:ascii="Cambria" w:hAnsi="Cambria" w:cs="Arial"/>
          <w:b w:val="0"/>
          <w:color w:val="333333"/>
          <w:sz w:val="24"/>
          <w:szCs w:val="24"/>
          <w:shd w:val="clear" w:color="auto" w:fill="FFFFFF"/>
          <w:lang w:val="en-GB"/>
        </w:rPr>
        <w:t xml:space="preserve">, </w:t>
      </w:r>
      <w:r w:rsidR="004A1429">
        <w:rPr>
          <w:rStyle w:val="Strong"/>
          <w:rFonts w:ascii="Cambria" w:hAnsi="Cambria" w:cs="Arial"/>
          <w:b w:val="0"/>
          <w:color w:val="333333"/>
          <w:sz w:val="24"/>
          <w:szCs w:val="24"/>
          <w:shd w:val="clear" w:color="auto" w:fill="FFFFFF"/>
          <w:lang w:val="en-GB"/>
        </w:rPr>
        <w:t xml:space="preserve">in order to initiate amending the Constitution, </w:t>
      </w:r>
      <w:r w:rsidR="002520F2" w:rsidRPr="002520F2">
        <w:rPr>
          <w:rStyle w:val="Strong"/>
          <w:rFonts w:ascii="Cambria" w:hAnsi="Cambria" w:cs="Arial"/>
          <w:b w:val="0"/>
          <w:color w:val="333333"/>
          <w:sz w:val="24"/>
          <w:szCs w:val="24"/>
          <w:shd w:val="clear" w:color="auto" w:fill="FFFFFF"/>
          <w:lang w:val="en-GB"/>
        </w:rPr>
        <w:t>at lea</w:t>
      </w:r>
      <w:r w:rsidR="00F23815">
        <w:rPr>
          <w:rStyle w:val="Strong"/>
          <w:rFonts w:ascii="Cambria" w:hAnsi="Cambria" w:cs="Arial"/>
          <w:b w:val="0"/>
          <w:color w:val="333333"/>
          <w:sz w:val="24"/>
          <w:szCs w:val="24"/>
          <w:shd w:val="clear" w:color="auto" w:fill="FFFFFF"/>
          <w:lang w:val="en-GB"/>
        </w:rPr>
        <w:t>st 20 thousand signatures * 16 territorial-</w:t>
      </w:r>
      <w:r w:rsidR="002520F2" w:rsidRPr="002520F2">
        <w:rPr>
          <w:rStyle w:val="Strong"/>
          <w:rFonts w:ascii="Cambria" w:hAnsi="Cambria" w:cs="Arial"/>
          <w:b w:val="0"/>
          <w:color w:val="333333"/>
          <w:sz w:val="24"/>
          <w:szCs w:val="24"/>
          <w:shd w:val="clear" w:color="auto" w:fill="FFFFFF"/>
          <w:lang w:val="en-GB"/>
        </w:rPr>
        <w:t>administrative units of the second level</w:t>
      </w:r>
      <w:r w:rsidR="00F23815">
        <w:rPr>
          <w:rStyle w:val="Strong"/>
          <w:rFonts w:ascii="Cambria" w:hAnsi="Cambria" w:cs="Arial"/>
          <w:b w:val="0"/>
          <w:color w:val="333333"/>
          <w:sz w:val="24"/>
          <w:szCs w:val="24"/>
          <w:shd w:val="clear" w:color="auto" w:fill="FFFFFF"/>
          <w:lang w:val="en-GB"/>
        </w:rPr>
        <w:t xml:space="preserve"> are required</w:t>
      </w:r>
      <w:r w:rsidR="002520F2" w:rsidRPr="002520F2">
        <w:rPr>
          <w:rStyle w:val="Strong"/>
          <w:rFonts w:ascii="Cambria" w:hAnsi="Cambria" w:cs="Arial"/>
          <w:b w:val="0"/>
          <w:color w:val="333333"/>
          <w:sz w:val="24"/>
          <w:szCs w:val="24"/>
          <w:shd w:val="clear" w:color="auto" w:fill="FFFFFF"/>
          <w:lang w:val="en-GB"/>
        </w:rPr>
        <w:t>, which represent</w:t>
      </w:r>
      <w:r w:rsidR="00F23815">
        <w:rPr>
          <w:rStyle w:val="Strong"/>
          <w:rFonts w:ascii="Cambria" w:hAnsi="Cambria" w:cs="Arial"/>
          <w:b w:val="0"/>
          <w:color w:val="333333"/>
          <w:sz w:val="24"/>
          <w:szCs w:val="24"/>
          <w:shd w:val="clear" w:color="auto" w:fill="FFFFFF"/>
          <w:lang w:val="en-GB"/>
        </w:rPr>
        <w:t>s</w:t>
      </w:r>
      <w:r w:rsidR="002520F2" w:rsidRPr="002520F2">
        <w:rPr>
          <w:rStyle w:val="Strong"/>
          <w:rFonts w:ascii="Cambria" w:hAnsi="Cambria" w:cs="Arial"/>
          <w:b w:val="0"/>
          <w:color w:val="333333"/>
          <w:sz w:val="24"/>
          <w:szCs w:val="24"/>
          <w:shd w:val="clear" w:color="auto" w:fill="FFFFFF"/>
          <w:lang w:val="en-GB"/>
        </w:rPr>
        <w:t xml:space="preserve"> at least 320</w:t>
      </w:r>
      <w:r w:rsidR="00F23815">
        <w:rPr>
          <w:rStyle w:val="Strong"/>
          <w:rFonts w:ascii="Cambria" w:hAnsi="Cambria" w:cs="Arial"/>
          <w:b w:val="0"/>
          <w:color w:val="333333"/>
          <w:sz w:val="24"/>
          <w:szCs w:val="24"/>
          <w:shd w:val="clear" w:color="auto" w:fill="FFFFFF"/>
          <w:lang w:val="en-GB"/>
        </w:rPr>
        <w:t>.</w:t>
      </w:r>
      <w:r w:rsidR="00847265">
        <w:rPr>
          <w:rStyle w:val="Strong"/>
          <w:rFonts w:ascii="Cambria" w:hAnsi="Cambria" w:cs="Arial"/>
          <w:b w:val="0"/>
          <w:color w:val="333333"/>
          <w:sz w:val="24"/>
          <w:szCs w:val="24"/>
          <w:shd w:val="clear" w:color="auto" w:fill="FFFFFF"/>
          <w:lang w:val="en-GB"/>
        </w:rPr>
        <w:t>000 signatures, well above the limit of 200.</w:t>
      </w:r>
      <w:r w:rsidR="002520F2" w:rsidRPr="002520F2">
        <w:rPr>
          <w:rStyle w:val="Strong"/>
          <w:rFonts w:ascii="Cambria" w:hAnsi="Cambria" w:cs="Arial"/>
          <w:b w:val="0"/>
          <w:color w:val="333333"/>
          <w:sz w:val="24"/>
          <w:szCs w:val="24"/>
          <w:shd w:val="clear" w:color="auto" w:fill="FFFFFF"/>
          <w:lang w:val="en-GB"/>
        </w:rPr>
        <w:t>000 signatures.</w:t>
      </w:r>
      <w:r w:rsidR="00847265">
        <w:rPr>
          <w:rStyle w:val="Strong"/>
          <w:rFonts w:ascii="Cambria" w:hAnsi="Cambria" w:cs="Arial"/>
          <w:b w:val="0"/>
          <w:color w:val="333333"/>
          <w:sz w:val="24"/>
          <w:szCs w:val="24"/>
          <w:shd w:val="clear" w:color="auto" w:fill="FFFFFF"/>
          <w:lang w:val="en-GB"/>
        </w:rPr>
        <w:t xml:space="preserve"> </w:t>
      </w:r>
    </w:p>
    <w:p w:rsidR="007B173D" w:rsidRDefault="003A04CD" w:rsidP="002520F2">
      <w:pPr>
        <w:jc w:val="both"/>
        <w:rPr>
          <w:rStyle w:val="Strong"/>
          <w:rFonts w:ascii="Cambria" w:hAnsi="Cambria" w:cs="Arial"/>
          <w:b w:val="0"/>
          <w:color w:val="333333"/>
          <w:sz w:val="24"/>
          <w:szCs w:val="24"/>
          <w:shd w:val="clear" w:color="auto" w:fill="FFFFFF"/>
          <w:lang w:val="en-GB"/>
        </w:rPr>
      </w:pPr>
      <w:r w:rsidRPr="003A04CD">
        <w:rPr>
          <w:rStyle w:val="Strong"/>
          <w:rFonts w:ascii="Cambria" w:hAnsi="Cambria" w:cs="Arial"/>
          <w:b w:val="0"/>
          <w:color w:val="333333"/>
          <w:sz w:val="24"/>
          <w:szCs w:val="24"/>
          <w:shd w:val="clear" w:color="auto" w:fill="FFFFFF"/>
          <w:lang w:val="en-GB"/>
        </w:rPr>
        <w:t>We can infer tha</w:t>
      </w:r>
      <w:r>
        <w:rPr>
          <w:rStyle w:val="Strong"/>
          <w:rFonts w:ascii="Cambria" w:hAnsi="Cambria" w:cs="Arial"/>
          <w:b w:val="0"/>
          <w:color w:val="333333"/>
          <w:sz w:val="24"/>
          <w:szCs w:val="24"/>
          <w:shd w:val="clear" w:color="auto" w:fill="FFFFFF"/>
          <w:lang w:val="en-GB"/>
        </w:rPr>
        <w:t>t by introducing minimum</w:t>
      </w:r>
      <w:r w:rsidRPr="003A04CD">
        <w:rPr>
          <w:rStyle w:val="Strong"/>
          <w:rFonts w:ascii="Cambria" w:hAnsi="Cambria" w:cs="Arial"/>
          <w:b w:val="0"/>
          <w:color w:val="333333"/>
          <w:sz w:val="24"/>
          <w:szCs w:val="24"/>
          <w:shd w:val="clear" w:color="auto" w:fill="FFFFFF"/>
          <w:lang w:val="en-GB"/>
        </w:rPr>
        <w:t xml:space="preserve"> numbers of signatures that need to be collected to promote an ordinary legislative initiative or to amend the Constitution, the legislator sought to guarantee the right of citizens to initiate different types of republican referendums and to ensure the direct exercise of sovereignty.</w:t>
      </w:r>
    </w:p>
    <w:p w:rsidR="001876F2" w:rsidRPr="0023046D" w:rsidRDefault="001876F2" w:rsidP="002520F2">
      <w:pPr>
        <w:jc w:val="both"/>
        <w:rPr>
          <w:rStyle w:val="Strong"/>
          <w:rFonts w:ascii="Cambria" w:hAnsi="Cambria" w:cs="Arial"/>
          <w:b w:val="0"/>
          <w:color w:val="333333"/>
          <w:sz w:val="24"/>
          <w:szCs w:val="24"/>
          <w:shd w:val="clear" w:color="auto" w:fill="FFFFFF"/>
          <w:lang w:val="en-GB"/>
        </w:rPr>
      </w:pPr>
      <w:r w:rsidRPr="001876F2">
        <w:rPr>
          <w:rStyle w:val="Strong"/>
          <w:rFonts w:ascii="Cambria" w:hAnsi="Cambria" w:cs="Arial"/>
          <w:b w:val="0"/>
          <w:color w:val="333333"/>
          <w:sz w:val="24"/>
          <w:szCs w:val="24"/>
          <w:shd w:val="clear" w:color="auto" w:fill="FFFFFF"/>
          <w:lang w:val="en-GB"/>
        </w:rPr>
        <w:t>On July 27, 2017, the Constitutional Court of the Republic of Moldova declared unconstitutional</w:t>
      </w:r>
      <w:r>
        <w:rPr>
          <w:rStyle w:val="FootnoteReference"/>
          <w:rFonts w:ascii="Cambria" w:hAnsi="Cambria" w:cs="Arial"/>
          <w:bCs/>
          <w:color w:val="333333"/>
          <w:sz w:val="24"/>
          <w:szCs w:val="24"/>
          <w:shd w:val="clear" w:color="auto" w:fill="FFFFFF"/>
          <w:lang w:val="en-GB"/>
        </w:rPr>
        <w:footnoteReference w:id="3"/>
      </w:r>
      <w:r w:rsidRPr="001876F2">
        <w:rPr>
          <w:rStyle w:val="Strong"/>
          <w:rFonts w:ascii="Cambria" w:hAnsi="Cambria" w:cs="Arial"/>
          <w:b w:val="0"/>
          <w:color w:val="333333"/>
          <w:sz w:val="24"/>
          <w:szCs w:val="24"/>
          <w:shd w:val="clear" w:color="auto" w:fill="FFFFFF"/>
          <w:lang w:val="en-GB"/>
        </w:rPr>
        <w:t xml:space="preserve"> the provisions of the present (after republishing</w:t>
      </w:r>
      <w:r w:rsidR="004804DF">
        <w:rPr>
          <w:rStyle w:val="Strong"/>
          <w:rFonts w:ascii="Cambria" w:hAnsi="Cambria" w:cs="Arial"/>
          <w:b w:val="0"/>
          <w:color w:val="333333"/>
          <w:sz w:val="24"/>
          <w:szCs w:val="24"/>
          <w:shd w:val="clear" w:color="auto" w:fill="FFFFFF"/>
          <w:lang w:val="en-GB"/>
        </w:rPr>
        <w:t>,</w:t>
      </w:r>
      <w:r w:rsidRPr="001876F2">
        <w:rPr>
          <w:rStyle w:val="Strong"/>
          <w:rFonts w:ascii="Cambria" w:hAnsi="Cambria" w:cs="Arial"/>
          <w:b w:val="0"/>
          <w:color w:val="333333"/>
          <w:sz w:val="24"/>
          <w:szCs w:val="24"/>
          <w:shd w:val="clear" w:color="auto" w:fill="FFFFFF"/>
          <w:lang w:val="en-GB"/>
        </w:rPr>
        <w:t xml:space="preserve"> the numbering of the articles was modified) paragraph 2 of Article 155 of the Electoral Code, which offered inter alia the President of the Republic of Moldova, the Government and 200</w:t>
      </w:r>
      <w:r w:rsidR="007352F9">
        <w:rPr>
          <w:rStyle w:val="Strong"/>
          <w:rFonts w:ascii="Cambria" w:hAnsi="Cambria" w:cs="Arial"/>
          <w:b w:val="0"/>
          <w:color w:val="333333"/>
          <w:sz w:val="24"/>
          <w:szCs w:val="24"/>
          <w:shd w:val="clear" w:color="auto" w:fill="FFFFFF"/>
          <w:lang w:val="en-GB"/>
        </w:rPr>
        <w:t>.000 citizens</w:t>
      </w:r>
      <w:r w:rsidRPr="001876F2">
        <w:rPr>
          <w:rStyle w:val="Strong"/>
          <w:rFonts w:ascii="Cambria" w:hAnsi="Cambria" w:cs="Arial"/>
          <w:b w:val="0"/>
          <w:color w:val="333333"/>
          <w:sz w:val="24"/>
          <w:szCs w:val="24"/>
          <w:shd w:val="clear" w:color="auto" w:fill="FFFFFF"/>
          <w:lang w:val="en-GB"/>
        </w:rPr>
        <w:t xml:space="preserve"> the right to vote any type of referendum.</w:t>
      </w:r>
    </w:p>
    <w:p w:rsidR="000A1D5C" w:rsidRDefault="000A1D5C" w:rsidP="00DB5E08">
      <w:pPr>
        <w:jc w:val="both"/>
        <w:rPr>
          <w:rFonts w:ascii="Cambria" w:hAnsi="Cambria" w:cs="Arial"/>
          <w:bCs/>
          <w:color w:val="333333"/>
          <w:sz w:val="24"/>
          <w:szCs w:val="24"/>
          <w:shd w:val="clear" w:color="auto" w:fill="FFFFFF"/>
          <w:lang w:val="en-GB"/>
        </w:rPr>
      </w:pPr>
      <w:r w:rsidRPr="000A1D5C">
        <w:rPr>
          <w:rFonts w:ascii="Cambria" w:hAnsi="Cambria" w:cs="Arial"/>
          <w:bCs/>
          <w:color w:val="333333"/>
          <w:sz w:val="24"/>
          <w:szCs w:val="24"/>
          <w:shd w:val="clear" w:color="auto" w:fill="FFFFFF"/>
          <w:lang w:val="en-GB"/>
        </w:rPr>
        <w:lastRenderedPageBreak/>
        <w:t>On January 12, 2018, the Central Electoral Commission (CEC) rejected</w:t>
      </w:r>
      <w:r>
        <w:rPr>
          <w:rStyle w:val="FootnoteReference"/>
          <w:rFonts w:ascii="Cambria" w:hAnsi="Cambria" w:cs="Arial"/>
          <w:bCs/>
          <w:color w:val="333333"/>
          <w:sz w:val="24"/>
          <w:szCs w:val="24"/>
          <w:shd w:val="clear" w:color="auto" w:fill="FFFFFF"/>
          <w:lang w:val="en-GB"/>
        </w:rPr>
        <w:footnoteReference w:id="4"/>
      </w:r>
      <w:r w:rsidRPr="000A1D5C">
        <w:rPr>
          <w:rFonts w:ascii="Cambria" w:hAnsi="Cambria" w:cs="Arial"/>
          <w:bCs/>
          <w:color w:val="333333"/>
          <w:sz w:val="24"/>
          <w:szCs w:val="24"/>
          <w:shd w:val="clear" w:color="auto" w:fill="FFFFFF"/>
          <w:lang w:val="en-GB"/>
        </w:rPr>
        <w:t xml:space="preserve"> the request for registration of an initiative</w:t>
      </w:r>
      <w:r>
        <w:rPr>
          <w:rFonts w:ascii="Cambria" w:hAnsi="Cambria" w:cs="Arial"/>
          <w:bCs/>
          <w:color w:val="333333"/>
          <w:sz w:val="24"/>
          <w:szCs w:val="24"/>
          <w:shd w:val="clear" w:color="auto" w:fill="FFFFFF"/>
          <w:lang w:val="en-GB"/>
        </w:rPr>
        <w:t xml:space="preserve"> group intending to initiate a r</w:t>
      </w:r>
      <w:r w:rsidRPr="000A1D5C">
        <w:rPr>
          <w:rFonts w:ascii="Cambria" w:hAnsi="Cambria" w:cs="Arial"/>
          <w:bCs/>
          <w:color w:val="333333"/>
          <w:sz w:val="24"/>
          <w:szCs w:val="24"/>
          <w:shd w:val="clear" w:color="auto" w:fill="FFFFFF"/>
          <w:lang w:val="en-GB"/>
        </w:rPr>
        <w:t>epublican legislative referendum to rep</w:t>
      </w:r>
      <w:r w:rsidR="000B1F88">
        <w:rPr>
          <w:rFonts w:ascii="Cambria" w:hAnsi="Cambria" w:cs="Arial"/>
          <w:bCs/>
          <w:color w:val="333333"/>
          <w:sz w:val="24"/>
          <w:szCs w:val="24"/>
          <w:shd w:val="clear" w:color="auto" w:fill="FFFFFF"/>
          <w:lang w:val="en-GB"/>
        </w:rPr>
        <w:t>eal the amendments and addenda</w:t>
      </w:r>
      <w:r w:rsidRPr="000A1D5C">
        <w:rPr>
          <w:rFonts w:ascii="Cambria" w:hAnsi="Cambria" w:cs="Arial"/>
          <w:bCs/>
          <w:color w:val="333333"/>
          <w:sz w:val="24"/>
          <w:szCs w:val="24"/>
          <w:shd w:val="clear" w:color="auto" w:fill="FFFFFF"/>
          <w:lang w:val="en-GB"/>
        </w:rPr>
        <w:t xml:space="preserve"> adopted by</w:t>
      </w:r>
      <w:r w:rsidR="000B1F88">
        <w:rPr>
          <w:rFonts w:ascii="Cambria" w:hAnsi="Cambria" w:cs="Arial"/>
          <w:bCs/>
          <w:color w:val="333333"/>
          <w:sz w:val="24"/>
          <w:szCs w:val="24"/>
          <w:shd w:val="clear" w:color="auto" w:fill="FFFFFF"/>
          <w:lang w:val="en-GB"/>
        </w:rPr>
        <w:t xml:space="preserve"> the Law No </w:t>
      </w:r>
      <w:r w:rsidRPr="000A1D5C">
        <w:rPr>
          <w:rFonts w:ascii="Cambria" w:hAnsi="Cambria" w:cs="Arial"/>
          <w:bCs/>
          <w:color w:val="333333"/>
          <w:sz w:val="24"/>
          <w:szCs w:val="24"/>
          <w:shd w:val="clear" w:color="auto" w:fill="FFFFFF"/>
          <w:lang w:val="en-GB"/>
        </w:rPr>
        <w:t xml:space="preserve">154/2017, </w:t>
      </w:r>
      <w:r w:rsidR="00F33F9A">
        <w:rPr>
          <w:rFonts w:ascii="Cambria" w:hAnsi="Cambria" w:cs="Arial"/>
          <w:bCs/>
          <w:color w:val="333333"/>
          <w:sz w:val="24"/>
          <w:szCs w:val="24"/>
          <w:shd w:val="clear" w:color="auto" w:fill="FFFFFF"/>
          <w:lang w:val="en-GB"/>
        </w:rPr>
        <w:t xml:space="preserve">by </w:t>
      </w:r>
      <w:r w:rsidR="002A21A9">
        <w:rPr>
          <w:rFonts w:ascii="Cambria" w:hAnsi="Cambria" w:cs="Arial"/>
          <w:bCs/>
          <w:color w:val="333333"/>
          <w:sz w:val="24"/>
          <w:szCs w:val="24"/>
          <w:shd w:val="clear" w:color="auto" w:fill="FFFFFF"/>
          <w:lang w:val="en-GB"/>
        </w:rPr>
        <w:t>which the mixed electoral system</w:t>
      </w:r>
      <w:r w:rsidRPr="000A1D5C">
        <w:rPr>
          <w:rFonts w:ascii="Cambria" w:hAnsi="Cambria" w:cs="Arial"/>
          <w:bCs/>
          <w:color w:val="333333"/>
          <w:sz w:val="24"/>
          <w:szCs w:val="24"/>
          <w:shd w:val="clear" w:color="auto" w:fill="FFFFFF"/>
          <w:lang w:val="en-GB"/>
        </w:rPr>
        <w:t xml:space="preserve"> of</w:t>
      </w:r>
      <w:r w:rsidR="002A21A9">
        <w:rPr>
          <w:rFonts w:ascii="Cambria" w:hAnsi="Cambria" w:cs="Arial"/>
          <w:bCs/>
          <w:color w:val="333333"/>
          <w:sz w:val="24"/>
          <w:szCs w:val="24"/>
          <w:shd w:val="clear" w:color="auto" w:fill="FFFFFF"/>
          <w:lang w:val="en-GB"/>
        </w:rPr>
        <w:t xml:space="preserve"> election of</w:t>
      </w:r>
      <w:r w:rsidRPr="000A1D5C">
        <w:rPr>
          <w:rFonts w:ascii="Cambria" w:hAnsi="Cambria" w:cs="Arial"/>
          <w:bCs/>
          <w:color w:val="333333"/>
          <w:sz w:val="24"/>
          <w:szCs w:val="24"/>
          <w:shd w:val="clear" w:color="auto" w:fill="FFFFFF"/>
          <w:lang w:val="en-GB"/>
        </w:rPr>
        <w:t xml:space="preserve"> </w:t>
      </w:r>
      <w:r w:rsidR="002A21A9">
        <w:rPr>
          <w:rFonts w:ascii="Cambria" w:hAnsi="Cambria" w:cs="Arial"/>
          <w:bCs/>
          <w:color w:val="333333"/>
          <w:sz w:val="24"/>
          <w:szCs w:val="24"/>
          <w:shd w:val="clear" w:color="auto" w:fill="FFFFFF"/>
          <w:lang w:val="en-GB"/>
        </w:rPr>
        <w:t xml:space="preserve">Members in the </w:t>
      </w:r>
      <w:r w:rsidRPr="000A1D5C">
        <w:rPr>
          <w:rFonts w:ascii="Cambria" w:hAnsi="Cambria" w:cs="Arial"/>
          <w:bCs/>
          <w:color w:val="333333"/>
          <w:sz w:val="24"/>
          <w:szCs w:val="24"/>
          <w:shd w:val="clear" w:color="auto" w:fill="FFFFFF"/>
          <w:lang w:val="en-GB"/>
        </w:rPr>
        <w:t>Parliament</w:t>
      </w:r>
      <w:r w:rsidR="002A21A9">
        <w:rPr>
          <w:rFonts w:ascii="Cambria" w:hAnsi="Cambria" w:cs="Arial"/>
          <w:bCs/>
          <w:color w:val="333333"/>
          <w:sz w:val="24"/>
          <w:szCs w:val="24"/>
          <w:shd w:val="clear" w:color="auto" w:fill="FFFFFF"/>
          <w:lang w:val="en-GB"/>
        </w:rPr>
        <w:t xml:space="preserve"> was introduced</w:t>
      </w:r>
      <w:r w:rsidRPr="000A1D5C">
        <w:rPr>
          <w:rFonts w:ascii="Cambria" w:hAnsi="Cambria" w:cs="Arial"/>
          <w:bCs/>
          <w:color w:val="333333"/>
          <w:sz w:val="24"/>
          <w:szCs w:val="24"/>
          <w:shd w:val="clear" w:color="auto" w:fill="FFFFFF"/>
          <w:lang w:val="en-GB"/>
        </w:rPr>
        <w:t>. The Commission substantiated its decision by formally invoking pro</w:t>
      </w:r>
      <w:r w:rsidR="0090672F">
        <w:rPr>
          <w:rFonts w:ascii="Cambria" w:hAnsi="Cambria" w:cs="Arial"/>
          <w:bCs/>
          <w:color w:val="333333"/>
          <w:sz w:val="24"/>
          <w:szCs w:val="24"/>
          <w:shd w:val="clear" w:color="auto" w:fill="FFFFFF"/>
          <w:lang w:val="en-GB"/>
        </w:rPr>
        <w:t>cedural deficiencies admitted by the</w:t>
      </w:r>
      <w:r w:rsidRPr="000A1D5C">
        <w:rPr>
          <w:rFonts w:ascii="Cambria" w:hAnsi="Cambria" w:cs="Arial"/>
          <w:bCs/>
          <w:color w:val="333333"/>
          <w:sz w:val="24"/>
          <w:szCs w:val="24"/>
          <w:shd w:val="clear" w:color="auto" w:fill="FFFFFF"/>
          <w:lang w:val="en-GB"/>
        </w:rPr>
        <w:t xml:space="preserve"> group members, although they were qualified as insufficient by some civil society</w:t>
      </w:r>
      <w:r w:rsidR="0045487E">
        <w:rPr>
          <w:rStyle w:val="FootnoteReference"/>
          <w:rFonts w:ascii="Cambria" w:hAnsi="Cambria" w:cs="Arial"/>
          <w:bCs/>
          <w:color w:val="333333"/>
          <w:sz w:val="24"/>
          <w:szCs w:val="24"/>
          <w:shd w:val="clear" w:color="auto" w:fill="FFFFFF"/>
          <w:lang w:val="en-GB"/>
        </w:rPr>
        <w:footnoteReference w:id="5"/>
      </w:r>
      <w:r w:rsidRPr="000A1D5C">
        <w:rPr>
          <w:rFonts w:ascii="Cambria" w:hAnsi="Cambria" w:cs="Arial"/>
          <w:bCs/>
          <w:color w:val="333333"/>
          <w:sz w:val="24"/>
          <w:szCs w:val="24"/>
          <w:shd w:val="clear" w:color="auto" w:fill="FFFFFF"/>
          <w:lang w:val="en-GB"/>
        </w:rPr>
        <w:t xml:space="preserve"> organizations </w:t>
      </w:r>
      <w:r w:rsidR="0045487E">
        <w:rPr>
          <w:rFonts w:ascii="Cambria" w:hAnsi="Cambria" w:cs="Arial"/>
          <w:bCs/>
          <w:color w:val="333333"/>
          <w:sz w:val="24"/>
          <w:szCs w:val="24"/>
          <w:shd w:val="clear" w:color="auto" w:fill="FFFFFF"/>
          <w:lang w:val="en-GB"/>
        </w:rPr>
        <w:t>to be rejected.</w:t>
      </w:r>
    </w:p>
    <w:p w:rsidR="005551C7" w:rsidRDefault="0045487E" w:rsidP="00DB5E08">
      <w:pPr>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Worse,</w:t>
      </w:r>
      <w:r w:rsidR="004B3061">
        <w:rPr>
          <w:rFonts w:ascii="Cambria" w:hAnsi="Cambria" w:cs="Arial"/>
          <w:bCs/>
          <w:color w:val="333333"/>
          <w:sz w:val="24"/>
          <w:szCs w:val="24"/>
          <w:shd w:val="clear" w:color="auto" w:fill="FFFFFF"/>
          <w:lang w:val="en-GB"/>
        </w:rPr>
        <w:t xml:space="preserve"> by this decision,</w:t>
      </w:r>
      <w:r>
        <w:rPr>
          <w:rFonts w:ascii="Cambria" w:hAnsi="Cambria" w:cs="Arial"/>
          <w:bCs/>
          <w:color w:val="333333"/>
          <w:sz w:val="24"/>
          <w:szCs w:val="24"/>
          <w:shd w:val="clear" w:color="auto" w:fill="FFFFFF"/>
          <w:lang w:val="en-GB"/>
        </w:rPr>
        <w:t xml:space="preserve"> </w:t>
      </w:r>
      <w:r w:rsidRPr="0045487E">
        <w:rPr>
          <w:rFonts w:ascii="Cambria" w:hAnsi="Cambria" w:cs="Arial"/>
          <w:bCs/>
          <w:color w:val="333333"/>
          <w:sz w:val="24"/>
          <w:szCs w:val="24"/>
          <w:shd w:val="clear" w:color="auto" w:fill="FFFFFF"/>
          <w:lang w:val="en-GB"/>
        </w:rPr>
        <w:t>the Commission questioned the citizens' right to i</w:t>
      </w:r>
      <w:r w:rsidR="00964822">
        <w:rPr>
          <w:rFonts w:ascii="Cambria" w:hAnsi="Cambria" w:cs="Arial"/>
          <w:bCs/>
          <w:color w:val="333333"/>
          <w:sz w:val="24"/>
          <w:szCs w:val="24"/>
          <w:shd w:val="clear" w:color="auto" w:fill="FFFFFF"/>
          <w:lang w:val="en-GB"/>
        </w:rPr>
        <w:t>nitiate legislative referenda: ‘</w:t>
      </w:r>
      <w:r w:rsidRPr="0045487E">
        <w:rPr>
          <w:rFonts w:ascii="Cambria" w:hAnsi="Cambria" w:cs="Arial"/>
          <w:bCs/>
          <w:color w:val="333333"/>
          <w:sz w:val="24"/>
          <w:szCs w:val="24"/>
          <w:shd w:val="clear" w:color="auto" w:fill="FFFFFF"/>
          <w:lang w:val="en-GB"/>
        </w:rPr>
        <w:t>it is not clear w</w:t>
      </w:r>
      <w:r w:rsidR="007F0B73">
        <w:rPr>
          <w:rFonts w:ascii="Cambria" w:hAnsi="Cambria" w:cs="Arial"/>
          <w:bCs/>
          <w:color w:val="333333"/>
          <w:sz w:val="24"/>
          <w:szCs w:val="24"/>
          <w:shd w:val="clear" w:color="auto" w:fill="FFFFFF"/>
          <w:lang w:val="en-GB"/>
        </w:rPr>
        <w:t xml:space="preserve">hether </w:t>
      </w:r>
      <w:r w:rsidR="006D5A22">
        <w:rPr>
          <w:rFonts w:ascii="Cambria" w:hAnsi="Cambria" w:cs="Arial"/>
          <w:bCs/>
          <w:color w:val="333333"/>
          <w:sz w:val="24"/>
          <w:szCs w:val="24"/>
          <w:shd w:val="clear" w:color="auto" w:fill="FFFFFF"/>
          <w:lang w:val="en-GB"/>
        </w:rPr>
        <w:t xml:space="preserve">can be organised </w:t>
      </w:r>
      <w:r w:rsidR="007F0B73">
        <w:rPr>
          <w:rFonts w:ascii="Cambria" w:hAnsi="Cambria" w:cs="Arial"/>
          <w:bCs/>
          <w:color w:val="333333"/>
          <w:sz w:val="24"/>
          <w:szCs w:val="24"/>
          <w:shd w:val="clear" w:color="auto" w:fill="FFFFFF"/>
          <w:lang w:val="en-GB"/>
        </w:rPr>
        <w:t>a legislative referendum, which</w:t>
      </w:r>
      <w:r w:rsidRPr="0045487E">
        <w:rPr>
          <w:rFonts w:ascii="Cambria" w:hAnsi="Cambria" w:cs="Arial"/>
          <w:bCs/>
          <w:color w:val="333333"/>
          <w:sz w:val="24"/>
          <w:szCs w:val="24"/>
          <w:shd w:val="clear" w:color="auto" w:fill="FFFFFF"/>
          <w:lang w:val="en-GB"/>
        </w:rPr>
        <w:t xml:space="preserve"> does not </w:t>
      </w:r>
      <w:r w:rsidR="004B3061">
        <w:rPr>
          <w:rFonts w:ascii="Cambria" w:hAnsi="Cambria" w:cs="Arial"/>
          <w:bCs/>
          <w:color w:val="333333"/>
          <w:sz w:val="24"/>
          <w:szCs w:val="24"/>
          <w:shd w:val="clear" w:color="auto" w:fill="FFFFFF"/>
          <w:lang w:val="en-GB"/>
        </w:rPr>
        <w:t xml:space="preserve">refer to </w:t>
      </w:r>
      <w:r w:rsidRPr="0045487E">
        <w:rPr>
          <w:rFonts w:ascii="Cambria" w:hAnsi="Cambria" w:cs="Arial"/>
          <w:bCs/>
          <w:color w:val="333333"/>
          <w:sz w:val="24"/>
          <w:szCs w:val="24"/>
          <w:shd w:val="clear" w:color="auto" w:fill="FFFFFF"/>
          <w:lang w:val="en-GB"/>
        </w:rPr>
        <w:t>the approval of the constitutional laws adopted by Parliament, as required by Article 157 (1) letter b) of the Election Code,</w:t>
      </w:r>
      <w:r w:rsidR="007F0B73">
        <w:rPr>
          <w:rFonts w:ascii="Cambria" w:hAnsi="Cambria" w:cs="Arial"/>
          <w:bCs/>
          <w:color w:val="333333"/>
          <w:sz w:val="24"/>
          <w:szCs w:val="24"/>
          <w:shd w:val="clear" w:color="auto" w:fill="FFFFFF"/>
          <w:lang w:val="en-GB"/>
        </w:rPr>
        <w:t xml:space="preserve"> therefore,</w:t>
      </w:r>
      <w:r w:rsidRPr="0045487E">
        <w:rPr>
          <w:rFonts w:ascii="Cambria" w:hAnsi="Cambria" w:cs="Arial"/>
          <w:bCs/>
          <w:color w:val="333333"/>
          <w:sz w:val="24"/>
          <w:szCs w:val="24"/>
          <w:shd w:val="clear" w:color="auto" w:fill="FFFFFF"/>
          <w:lang w:val="en-GB"/>
        </w:rPr>
        <w:t xml:space="preserve"> this article, which sets out exhaustively the problems that may be </w:t>
      </w:r>
      <w:r w:rsidR="0052723E">
        <w:rPr>
          <w:rFonts w:ascii="Cambria" w:hAnsi="Cambria" w:cs="Arial"/>
          <w:bCs/>
          <w:color w:val="333333"/>
          <w:sz w:val="24"/>
          <w:szCs w:val="24"/>
          <w:shd w:val="clear" w:color="auto" w:fill="FFFFFF"/>
          <w:lang w:val="en-GB"/>
        </w:rPr>
        <w:t>subject</w:t>
      </w:r>
      <w:r w:rsidRPr="0045487E">
        <w:rPr>
          <w:rFonts w:ascii="Cambria" w:hAnsi="Cambria" w:cs="Arial"/>
          <w:bCs/>
          <w:color w:val="333333"/>
          <w:sz w:val="24"/>
          <w:szCs w:val="24"/>
          <w:shd w:val="clear" w:color="auto" w:fill="FFFFFF"/>
          <w:lang w:val="en-GB"/>
        </w:rPr>
        <w:t xml:space="preserve"> to the Republican referendum, does not provide for the possibility of organizing a</w:t>
      </w:r>
      <w:r w:rsidR="00E11E2D">
        <w:rPr>
          <w:rFonts w:ascii="Cambria" w:hAnsi="Cambria" w:cs="Arial"/>
          <w:bCs/>
          <w:color w:val="333333"/>
          <w:sz w:val="24"/>
          <w:szCs w:val="24"/>
          <w:shd w:val="clear" w:color="auto" w:fill="FFFFFF"/>
          <w:lang w:val="en-GB"/>
        </w:rPr>
        <w:t>nother</w:t>
      </w:r>
      <w:r w:rsidR="00443E71">
        <w:rPr>
          <w:rFonts w:ascii="Cambria" w:hAnsi="Cambria" w:cs="Arial"/>
          <w:bCs/>
          <w:color w:val="333333"/>
          <w:sz w:val="24"/>
          <w:szCs w:val="24"/>
          <w:shd w:val="clear" w:color="auto" w:fill="FFFFFF"/>
          <w:lang w:val="en-GB"/>
        </w:rPr>
        <w:t xml:space="preserve"> legislative referendum </w:t>
      </w:r>
      <w:r w:rsidRPr="0045487E">
        <w:rPr>
          <w:rFonts w:ascii="Cambria" w:hAnsi="Cambria" w:cs="Arial"/>
          <w:bCs/>
          <w:color w:val="333333"/>
          <w:sz w:val="24"/>
          <w:szCs w:val="24"/>
          <w:shd w:val="clear" w:color="auto" w:fill="FFFFFF"/>
          <w:lang w:val="en-GB"/>
        </w:rPr>
        <w:t>than the</w:t>
      </w:r>
      <w:r w:rsidR="00443E71">
        <w:rPr>
          <w:rFonts w:ascii="Cambria" w:hAnsi="Cambria" w:cs="Arial"/>
          <w:bCs/>
          <w:color w:val="333333"/>
          <w:sz w:val="24"/>
          <w:szCs w:val="24"/>
          <w:shd w:val="clear" w:color="auto" w:fill="FFFFFF"/>
          <w:lang w:val="en-GB"/>
        </w:rPr>
        <w:t xml:space="preserve"> one which refers to the</w:t>
      </w:r>
      <w:r w:rsidRPr="0045487E">
        <w:rPr>
          <w:rFonts w:ascii="Cambria" w:hAnsi="Cambria" w:cs="Arial"/>
          <w:bCs/>
          <w:color w:val="333333"/>
          <w:sz w:val="24"/>
          <w:szCs w:val="24"/>
          <w:shd w:val="clear" w:color="auto" w:fill="FFFFFF"/>
          <w:lang w:val="en-GB"/>
        </w:rPr>
        <w:t xml:space="preserve"> approval of the laws passed by the Parl</w:t>
      </w:r>
      <w:r w:rsidR="00443E71">
        <w:rPr>
          <w:rFonts w:ascii="Cambria" w:hAnsi="Cambria" w:cs="Arial"/>
          <w:bCs/>
          <w:color w:val="333333"/>
          <w:sz w:val="24"/>
          <w:szCs w:val="24"/>
          <w:shd w:val="clear" w:color="auto" w:fill="FFFFFF"/>
          <w:lang w:val="en-GB"/>
        </w:rPr>
        <w:t>iament, or it is presumed that ‘</w:t>
      </w:r>
      <w:r w:rsidRPr="0045487E">
        <w:rPr>
          <w:rFonts w:ascii="Cambria" w:hAnsi="Cambria" w:cs="Arial"/>
          <w:bCs/>
          <w:color w:val="333333"/>
          <w:sz w:val="24"/>
          <w:szCs w:val="24"/>
          <w:shd w:val="clear" w:color="auto" w:fill="FFFFFF"/>
          <w:lang w:val="en-GB"/>
        </w:rPr>
        <w:t xml:space="preserve">other important </w:t>
      </w:r>
      <w:r w:rsidR="00443E71">
        <w:rPr>
          <w:rFonts w:ascii="Cambria" w:hAnsi="Cambria" w:cs="Arial"/>
          <w:bCs/>
          <w:color w:val="333333"/>
          <w:sz w:val="24"/>
          <w:szCs w:val="24"/>
          <w:shd w:val="clear" w:color="auto" w:fill="FFFFFF"/>
          <w:lang w:val="en-GB"/>
        </w:rPr>
        <w:t>issues of society and the state’</w:t>
      </w:r>
      <w:r w:rsidRPr="0045487E">
        <w:rPr>
          <w:rFonts w:ascii="Cambria" w:hAnsi="Cambria" w:cs="Arial"/>
          <w:bCs/>
          <w:color w:val="333333"/>
          <w:sz w:val="24"/>
          <w:szCs w:val="24"/>
          <w:shd w:val="clear" w:color="auto" w:fill="FFFFFF"/>
          <w:lang w:val="en-GB"/>
        </w:rPr>
        <w:t xml:space="preserve"> provided </w:t>
      </w:r>
      <w:r w:rsidR="00443E71">
        <w:rPr>
          <w:rFonts w:ascii="Cambria" w:hAnsi="Cambria" w:cs="Arial"/>
          <w:bCs/>
          <w:color w:val="333333"/>
          <w:sz w:val="24"/>
          <w:szCs w:val="24"/>
          <w:shd w:val="clear" w:color="auto" w:fill="FFFFFF"/>
          <w:lang w:val="en-GB"/>
        </w:rPr>
        <w:t xml:space="preserve">for by Article </w:t>
      </w:r>
      <w:r w:rsidRPr="0045487E">
        <w:rPr>
          <w:rFonts w:ascii="Cambria" w:hAnsi="Cambria" w:cs="Arial"/>
          <w:bCs/>
          <w:color w:val="333333"/>
          <w:sz w:val="24"/>
          <w:szCs w:val="24"/>
          <w:shd w:val="clear" w:color="auto" w:fill="FFFFFF"/>
          <w:lang w:val="en-GB"/>
        </w:rPr>
        <w:t>157 paragraph (1) letter d) i</w:t>
      </w:r>
      <w:r w:rsidR="006D5A22">
        <w:rPr>
          <w:rFonts w:ascii="Cambria" w:hAnsi="Cambria" w:cs="Arial"/>
          <w:bCs/>
          <w:color w:val="333333"/>
          <w:sz w:val="24"/>
          <w:szCs w:val="24"/>
          <w:shd w:val="clear" w:color="auto" w:fill="FFFFFF"/>
          <w:lang w:val="en-GB"/>
        </w:rPr>
        <w:t xml:space="preserve">nclude </w:t>
      </w:r>
      <w:r w:rsidRPr="0045487E">
        <w:rPr>
          <w:rFonts w:ascii="Cambria" w:hAnsi="Cambria" w:cs="Arial"/>
          <w:bCs/>
          <w:color w:val="333333"/>
          <w:sz w:val="24"/>
          <w:szCs w:val="24"/>
          <w:shd w:val="clear" w:color="auto" w:fill="FFFFFF"/>
          <w:lang w:val="en-GB"/>
        </w:rPr>
        <w:t>both the consultative</w:t>
      </w:r>
      <w:r w:rsidR="006D5A22">
        <w:rPr>
          <w:rFonts w:ascii="Cambria" w:hAnsi="Cambria" w:cs="Arial"/>
          <w:bCs/>
          <w:color w:val="333333"/>
          <w:sz w:val="24"/>
          <w:szCs w:val="24"/>
          <w:shd w:val="clear" w:color="auto" w:fill="FFFFFF"/>
          <w:lang w:val="en-GB"/>
        </w:rPr>
        <w:t xml:space="preserve"> and the legislative referendum’.</w:t>
      </w:r>
    </w:p>
    <w:p w:rsidR="000A0B78" w:rsidRDefault="00CC21C2" w:rsidP="00DB5E08">
      <w:pPr>
        <w:jc w:val="both"/>
        <w:rPr>
          <w:rFonts w:ascii="Cambria" w:hAnsi="Cambria" w:cs="Arial"/>
          <w:b/>
          <w:bCs/>
          <w:color w:val="333333"/>
          <w:sz w:val="24"/>
          <w:szCs w:val="24"/>
          <w:shd w:val="clear" w:color="auto" w:fill="FFFFFF"/>
          <w:lang w:val="en-GB"/>
        </w:rPr>
      </w:pPr>
      <w:r w:rsidRPr="00CC21C2">
        <w:rPr>
          <w:rFonts w:ascii="Cambria" w:hAnsi="Cambria" w:cs="Arial"/>
          <w:bCs/>
          <w:color w:val="333333"/>
          <w:sz w:val="24"/>
          <w:szCs w:val="24"/>
          <w:shd w:val="clear" w:color="auto" w:fill="FFFFFF"/>
          <w:lang w:val="en-GB"/>
        </w:rPr>
        <w:t>On February 15, 2018, the Ministry of Justice of the Republic of Moldova initiated the public consultation</w:t>
      </w:r>
      <w:r>
        <w:rPr>
          <w:rStyle w:val="FootnoteReference"/>
          <w:rFonts w:ascii="Cambria" w:hAnsi="Cambria" w:cs="Arial"/>
          <w:bCs/>
          <w:color w:val="333333"/>
          <w:sz w:val="24"/>
          <w:szCs w:val="24"/>
          <w:shd w:val="clear" w:color="auto" w:fill="FFFFFF"/>
          <w:lang w:val="en-GB"/>
        </w:rPr>
        <w:footnoteReference w:id="6"/>
      </w:r>
      <w:r w:rsidRPr="00CC21C2">
        <w:rPr>
          <w:rFonts w:ascii="Cambria" w:hAnsi="Cambria" w:cs="Arial"/>
          <w:bCs/>
          <w:color w:val="333333"/>
          <w:sz w:val="24"/>
          <w:szCs w:val="24"/>
          <w:shd w:val="clear" w:color="auto" w:fill="FFFFFF"/>
          <w:lang w:val="en-GB"/>
        </w:rPr>
        <w:t xml:space="preserve"> of a public debate on a draft law aimed at amending the Electoral Code by granting </w:t>
      </w:r>
      <w:r>
        <w:rPr>
          <w:rFonts w:ascii="Cambria" w:hAnsi="Cambria" w:cs="Arial"/>
          <w:bCs/>
          <w:color w:val="333333"/>
          <w:sz w:val="24"/>
          <w:szCs w:val="24"/>
          <w:shd w:val="clear" w:color="auto" w:fill="FFFFFF"/>
          <w:lang w:val="en-GB"/>
        </w:rPr>
        <w:t xml:space="preserve">the </w:t>
      </w:r>
      <w:r w:rsidRPr="00CC21C2">
        <w:rPr>
          <w:rFonts w:ascii="Cambria" w:hAnsi="Cambria" w:cs="Arial"/>
          <w:bCs/>
          <w:color w:val="333333"/>
          <w:sz w:val="24"/>
          <w:szCs w:val="24"/>
          <w:shd w:val="clear" w:color="auto" w:fill="FFFFFF"/>
          <w:lang w:val="en-GB"/>
        </w:rPr>
        <w:t>Parliament the e</w:t>
      </w:r>
      <w:r w:rsidR="00103956">
        <w:rPr>
          <w:rFonts w:ascii="Cambria" w:hAnsi="Cambria" w:cs="Arial"/>
          <w:bCs/>
          <w:color w:val="333333"/>
          <w:sz w:val="24"/>
          <w:szCs w:val="24"/>
          <w:shd w:val="clear" w:color="auto" w:fill="FFFFFF"/>
          <w:lang w:val="en-GB"/>
        </w:rPr>
        <w:t>xclusive right to initiate the r</w:t>
      </w:r>
      <w:r w:rsidRPr="00CC21C2">
        <w:rPr>
          <w:rFonts w:ascii="Cambria" w:hAnsi="Cambria" w:cs="Arial"/>
          <w:bCs/>
          <w:color w:val="333333"/>
          <w:sz w:val="24"/>
          <w:szCs w:val="24"/>
          <w:shd w:val="clear" w:color="auto" w:fill="FFFFFF"/>
          <w:lang w:val="en-GB"/>
        </w:rPr>
        <w:t>epublican legislative referendum</w:t>
      </w:r>
      <w:r>
        <w:rPr>
          <w:rStyle w:val="FootnoteReference"/>
          <w:rFonts w:ascii="Cambria" w:hAnsi="Cambria" w:cs="Arial"/>
          <w:bCs/>
          <w:color w:val="333333"/>
          <w:sz w:val="24"/>
          <w:szCs w:val="24"/>
          <w:shd w:val="clear" w:color="auto" w:fill="FFFFFF"/>
          <w:lang w:val="en-GB"/>
        </w:rPr>
        <w:footnoteReference w:id="7"/>
      </w:r>
      <w:r w:rsidRPr="00CC21C2">
        <w:rPr>
          <w:rFonts w:ascii="Cambria" w:hAnsi="Cambria" w:cs="Arial"/>
          <w:bCs/>
          <w:color w:val="333333"/>
          <w:sz w:val="24"/>
          <w:szCs w:val="24"/>
          <w:shd w:val="clear" w:color="auto" w:fill="FFFFFF"/>
          <w:lang w:val="en-GB"/>
        </w:rPr>
        <w:t>.</w:t>
      </w:r>
      <w:r w:rsidR="00103956">
        <w:rPr>
          <w:rFonts w:ascii="Cambria" w:hAnsi="Cambria" w:cs="Arial"/>
          <w:bCs/>
          <w:color w:val="333333"/>
          <w:sz w:val="24"/>
          <w:szCs w:val="24"/>
          <w:shd w:val="clear" w:color="auto" w:fill="FFFFFF"/>
          <w:lang w:val="en-GB"/>
        </w:rPr>
        <w:t xml:space="preserve"> </w:t>
      </w:r>
      <w:r w:rsidR="00103956" w:rsidRPr="00103956">
        <w:rPr>
          <w:rFonts w:ascii="Cambria" w:hAnsi="Cambria" w:cs="Arial"/>
          <w:bCs/>
          <w:color w:val="333333"/>
          <w:sz w:val="24"/>
          <w:szCs w:val="24"/>
          <w:shd w:val="clear" w:color="auto" w:fill="FFFFFF"/>
          <w:lang w:val="en-GB"/>
        </w:rPr>
        <w:t xml:space="preserve">In this context, several civil society organizations have issued </w:t>
      </w:r>
      <w:r w:rsidR="00103956">
        <w:rPr>
          <w:rFonts w:ascii="Cambria" w:hAnsi="Cambria" w:cs="Arial"/>
          <w:bCs/>
          <w:color w:val="333333"/>
          <w:sz w:val="24"/>
          <w:szCs w:val="24"/>
          <w:shd w:val="clear" w:color="auto" w:fill="FFFFFF"/>
          <w:lang w:val="en-GB"/>
        </w:rPr>
        <w:t>opinions</w:t>
      </w:r>
      <w:r w:rsidR="00103956">
        <w:rPr>
          <w:rStyle w:val="FootnoteReference"/>
          <w:rFonts w:ascii="Cambria" w:hAnsi="Cambria" w:cs="Arial"/>
          <w:bCs/>
          <w:color w:val="333333"/>
          <w:sz w:val="24"/>
          <w:szCs w:val="24"/>
          <w:shd w:val="clear" w:color="auto" w:fill="FFFFFF"/>
          <w:lang w:val="en-GB"/>
        </w:rPr>
        <w:footnoteReference w:id="8"/>
      </w:r>
      <w:r w:rsidR="00103956">
        <w:rPr>
          <w:rFonts w:ascii="Cambria" w:hAnsi="Cambria" w:cs="Arial"/>
          <w:bCs/>
          <w:color w:val="333333"/>
          <w:sz w:val="24"/>
          <w:szCs w:val="24"/>
          <w:shd w:val="clear" w:color="auto" w:fill="FFFFFF"/>
          <w:lang w:val="en-GB"/>
        </w:rPr>
        <w:t xml:space="preserve"> on this </w:t>
      </w:r>
      <w:r w:rsidR="001A202D">
        <w:rPr>
          <w:rFonts w:ascii="Cambria" w:hAnsi="Cambria" w:cs="Arial"/>
          <w:bCs/>
          <w:color w:val="333333"/>
          <w:sz w:val="24"/>
          <w:szCs w:val="24"/>
          <w:shd w:val="clear" w:color="auto" w:fill="FFFFFF"/>
          <w:lang w:val="en-GB"/>
        </w:rPr>
        <w:t>draft law</w:t>
      </w:r>
      <w:r w:rsidR="001A202D">
        <w:rPr>
          <w:rStyle w:val="FootnoteReference"/>
          <w:rFonts w:ascii="Cambria" w:hAnsi="Cambria" w:cs="Arial"/>
          <w:bCs/>
          <w:color w:val="333333"/>
          <w:sz w:val="24"/>
          <w:szCs w:val="24"/>
          <w:shd w:val="clear" w:color="auto" w:fill="FFFFFF"/>
          <w:lang w:val="en-GB"/>
        </w:rPr>
        <w:footnoteReference w:id="9"/>
      </w:r>
      <w:r w:rsidR="00103956">
        <w:rPr>
          <w:rFonts w:ascii="Cambria" w:hAnsi="Cambria" w:cs="Arial"/>
          <w:bCs/>
          <w:color w:val="333333"/>
          <w:sz w:val="24"/>
          <w:szCs w:val="24"/>
          <w:shd w:val="clear" w:color="auto" w:fill="FFFFFF"/>
          <w:lang w:val="en-GB"/>
        </w:rPr>
        <w:t xml:space="preserve"> and have ‘</w:t>
      </w:r>
      <w:r w:rsidR="00103956" w:rsidRPr="00103956">
        <w:rPr>
          <w:rFonts w:ascii="Cambria" w:hAnsi="Cambria" w:cs="Arial"/>
          <w:bCs/>
          <w:color w:val="333333"/>
          <w:sz w:val="24"/>
          <w:szCs w:val="24"/>
          <w:shd w:val="clear" w:color="auto" w:fill="FFFFFF"/>
          <w:lang w:val="en-GB"/>
        </w:rPr>
        <w:t>expressed their disagreement with the pr</w:t>
      </w:r>
      <w:r w:rsidR="000C2C4B">
        <w:rPr>
          <w:rFonts w:ascii="Cambria" w:hAnsi="Cambria" w:cs="Arial"/>
          <w:bCs/>
          <w:color w:val="333333"/>
          <w:sz w:val="24"/>
          <w:szCs w:val="24"/>
          <w:shd w:val="clear" w:color="auto" w:fill="FFFFFF"/>
          <w:lang w:val="en-GB"/>
        </w:rPr>
        <w:t xml:space="preserve">oposed amendments to the </w:t>
      </w:r>
      <w:r w:rsidR="00E60DE9">
        <w:rPr>
          <w:rFonts w:ascii="Cambria" w:hAnsi="Cambria" w:cs="Arial"/>
          <w:bCs/>
          <w:color w:val="333333"/>
          <w:sz w:val="24"/>
          <w:szCs w:val="24"/>
          <w:shd w:val="clear" w:color="auto" w:fill="FFFFFF"/>
          <w:lang w:val="en-GB"/>
        </w:rPr>
        <w:t xml:space="preserve">consulted </w:t>
      </w:r>
      <w:r w:rsidR="000C2C4B">
        <w:rPr>
          <w:rFonts w:ascii="Cambria" w:hAnsi="Cambria" w:cs="Arial"/>
          <w:bCs/>
          <w:color w:val="333333"/>
          <w:sz w:val="24"/>
          <w:szCs w:val="24"/>
          <w:shd w:val="clear" w:color="auto" w:fill="FFFFFF"/>
          <w:lang w:val="en-GB"/>
        </w:rPr>
        <w:t>draft l</w:t>
      </w:r>
      <w:r w:rsidR="00103956" w:rsidRPr="00103956">
        <w:rPr>
          <w:rFonts w:ascii="Cambria" w:hAnsi="Cambria" w:cs="Arial"/>
          <w:bCs/>
          <w:color w:val="333333"/>
          <w:sz w:val="24"/>
          <w:szCs w:val="24"/>
          <w:shd w:val="clear" w:color="auto" w:fill="FFFFFF"/>
          <w:lang w:val="en-GB"/>
        </w:rPr>
        <w:t>aw. The people of the Republic of Moldova</w:t>
      </w:r>
      <w:r w:rsidR="000C2C4B">
        <w:rPr>
          <w:rFonts w:ascii="Cambria" w:hAnsi="Cambria" w:cs="Arial"/>
          <w:bCs/>
          <w:color w:val="333333"/>
          <w:sz w:val="24"/>
          <w:szCs w:val="24"/>
          <w:shd w:val="clear" w:color="auto" w:fill="FFFFFF"/>
          <w:lang w:val="en-GB"/>
        </w:rPr>
        <w:t>,</w:t>
      </w:r>
      <w:r w:rsidR="00103956" w:rsidRPr="00103956">
        <w:rPr>
          <w:rFonts w:ascii="Cambria" w:hAnsi="Cambria" w:cs="Arial"/>
          <w:bCs/>
          <w:color w:val="333333"/>
          <w:sz w:val="24"/>
          <w:szCs w:val="24"/>
          <w:shd w:val="clear" w:color="auto" w:fill="FFFFFF"/>
          <w:lang w:val="en-GB"/>
        </w:rPr>
        <w:t xml:space="preserve"> as the sole sovereign </w:t>
      </w:r>
      <w:r w:rsidR="00E60DE9">
        <w:rPr>
          <w:rFonts w:ascii="Cambria" w:hAnsi="Cambria" w:cs="Arial"/>
          <w:bCs/>
          <w:color w:val="333333"/>
          <w:sz w:val="24"/>
          <w:szCs w:val="24"/>
          <w:shd w:val="clear" w:color="auto" w:fill="FFFFFF"/>
          <w:lang w:val="en-GB"/>
        </w:rPr>
        <w:t xml:space="preserve">holder </w:t>
      </w:r>
      <w:r w:rsidR="00103956" w:rsidRPr="00103956">
        <w:rPr>
          <w:rFonts w:ascii="Cambria" w:hAnsi="Cambria" w:cs="Arial"/>
          <w:bCs/>
          <w:color w:val="333333"/>
          <w:sz w:val="24"/>
          <w:szCs w:val="24"/>
          <w:shd w:val="clear" w:color="auto" w:fill="FFFFFF"/>
          <w:lang w:val="en-GB"/>
        </w:rPr>
        <w:t>of the power</w:t>
      </w:r>
      <w:r w:rsidR="00103956">
        <w:rPr>
          <w:rFonts w:ascii="Cambria" w:hAnsi="Cambria" w:cs="Arial"/>
          <w:bCs/>
          <w:color w:val="333333"/>
          <w:sz w:val="24"/>
          <w:szCs w:val="24"/>
          <w:shd w:val="clear" w:color="auto" w:fill="FFFFFF"/>
          <w:lang w:val="en-GB"/>
        </w:rPr>
        <w:t xml:space="preserve"> can</w:t>
      </w:r>
      <w:r w:rsidR="00103956" w:rsidRPr="00103956">
        <w:rPr>
          <w:rFonts w:ascii="Cambria" w:hAnsi="Cambria" w:cs="Arial"/>
          <w:bCs/>
          <w:color w:val="333333"/>
          <w:sz w:val="24"/>
          <w:szCs w:val="24"/>
          <w:shd w:val="clear" w:color="auto" w:fill="FFFFFF"/>
          <w:lang w:val="en-GB"/>
        </w:rPr>
        <w:t xml:space="preserve">not be deprived of the right to initiate any type of referendum. Moreover, we have </w:t>
      </w:r>
      <w:r w:rsidR="00103956" w:rsidRPr="00E60DE9">
        <w:rPr>
          <w:rFonts w:ascii="Cambria" w:hAnsi="Cambria" w:cs="Arial"/>
          <w:b/>
          <w:bCs/>
          <w:color w:val="333333"/>
          <w:sz w:val="24"/>
          <w:szCs w:val="24"/>
          <w:shd w:val="clear" w:color="auto" w:fill="FFFFFF"/>
          <w:lang w:val="en-GB"/>
        </w:rPr>
        <w:t xml:space="preserve">to find </w:t>
      </w:r>
      <w:r w:rsidR="00E7449A">
        <w:rPr>
          <w:rFonts w:ascii="Cambria" w:hAnsi="Cambria" w:cs="Arial"/>
          <w:b/>
          <w:bCs/>
          <w:color w:val="333333"/>
          <w:sz w:val="24"/>
          <w:szCs w:val="24"/>
          <w:shd w:val="clear" w:color="auto" w:fill="FFFFFF"/>
          <w:lang w:val="en-GB"/>
        </w:rPr>
        <w:t xml:space="preserve">some </w:t>
      </w:r>
      <w:r w:rsidR="00103956" w:rsidRPr="00E60DE9">
        <w:rPr>
          <w:rFonts w:ascii="Cambria" w:hAnsi="Cambria" w:cs="Arial"/>
          <w:b/>
          <w:bCs/>
          <w:color w:val="333333"/>
          <w:sz w:val="24"/>
          <w:szCs w:val="24"/>
          <w:shd w:val="clear" w:color="auto" w:fill="FFFFFF"/>
          <w:lang w:val="en-GB"/>
        </w:rPr>
        <w:t xml:space="preserve">artificial barriers that are not necessary in a democratic society and which seem to be obstacles in the future to suppress the intentions </w:t>
      </w:r>
      <w:r w:rsidR="00506345" w:rsidRPr="00506345">
        <w:rPr>
          <w:rFonts w:ascii="Cambria" w:hAnsi="Cambria" w:cs="Arial"/>
          <w:b/>
          <w:bCs/>
          <w:color w:val="333333"/>
          <w:sz w:val="24"/>
          <w:szCs w:val="24"/>
          <w:shd w:val="clear" w:color="auto" w:fill="FFFFFF"/>
          <w:lang w:val="en-GB"/>
        </w:rPr>
        <w:t>of exercising d</w:t>
      </w:r>
      <w:r w:rsidR="000A0B78">
        <w:rPr>
          <w:rFonts w:ascii="Cambria" w:hAnsi="Cambria" w:cs="Arial"/>
          <w:b/>
          <w:bCs/>
          <w:color w:val="333333"/>
          <w:sz w:val="24"/>
          <w:szCs w:val="24"/>
          <w:shd w:val="clear" w:color="auto" w:fill="FFFFFF"/>
          <w:lang w:val="en-GB"/>
        </w:rPr>
        <w:t>irect democracy by the people.</w:t>
      </w:r>
    </w:p>
    <w:p w:rsidR="000A0B78" w:rsidRDefault="000A0B78" w:rsidP="00DB5E08">
      <w:pPr>
        <w:jc w:val="both"/>
        <w:rPr>
          <w:rFonts w:ascii="Cambria" w:hAnsi="Cambria" w:cs="Arial"/>
          <w:bCs/>
          <w:color w:val="333333"/>
          <w:sz w:val="24"/>
          <w:szCs w:val="24"/>
          <w:shd w:val="clear" w:color="auto" w:fill="FFFFFF"/>
          <w:lang w:val="en-GB"/>
        </w:rPr>
      </w:pPr>
      <w:r w:rsidRPr="000A0B78">
        <w:rPr>
          <w:rFonts w:ascii="Cambria" w:hAnsi="Cambria" w:cs="Arial"/>
          <w:bCs/>
          <w:color w:val="333333"/>
          <w:sz w:val="24"/>
          <w:szCs w:val="24"/>
          <w:shd w:val="clear" w:color="auto" w:fill="FFFFFF"/>
          <w:lang w:val="en-GB"/>
        </w:rPr>
        <w:t>On March 7, 2018, contrary to the legislation in force</w:t>
      </w:r>
      <w:r w:rsidR="00153F04">
        <w:rPr>
          <w:rStyle w:val="FootnoteReference"/>
          <w:rFonts w:ascii="Cambria" w:hAnsi="Cambria" w:cs="Arial"/>
          <w:bCs/>
          <w:color w:val="333333"/>
          <w:sz w:val="24"/>
          <w:szCs w:val="24"/>
          <w:shd w:val="clear" w:color="auto" w:fill="FFFFFF"/>
          <w:lang w:val="en-GB"/>
        </w:rPr>
        <w:footnoteReference w:id="10"/>
      </w:r>
      <w:r w:rsidRPr="000A0B78">
        <w:rPr>
          <w:rFonts w:ascii="Cambria" w:hAnsi="Cambria" w:cs="Arial"/>
          <w:bCs/>
          <w:color w:val="333333"/>
          <w:sz w:val="24"/>
          <w:szCs w:val="24"/>
          <w:shd w:val="clear" w:color="auto" w:fill="FFFFFF"/>
          <w:lang w:val="en-GB"/>
        </w:rPr>
        <w:t>, the Legal Commission of the Moldovan Parliament examined the CEC's request for official interpretation of the Electoral Code and issued an advisory opinion, even if the Commission requested formal interpretation. According to the Advisory Opinion No. CJ-10/74 of March 7, 2018</w:t>
      </w:r>
      <w:r w:rsidR="00181F48">
        <w:rPr>
          <w:rStyle w:val="FootnoteReference"/>
          <w:rFonts w:ascii="Cambria" w:hAnsi="Cambria" w:cs="Arial"/>
          <w:bCs/>
          <w:color w:val="333333"/>
          <w:sz w:val="24"/>
          <w:szCs w:val="24"/>
          <w:shd w:val="clear" w:color="auto" w:fill="FFFFFF"/>
          <w:lang w:val="en-GB"/>
        </w:rPr>
        <w:footnoteReference w:id="11"/>
      </w:r>
      <w:r w:rsidRPr="000A0B78">
        <w:rPr>
          <w:rFonts w:ascii="Cambria" w:hAnsi="Cambria" w:cs="Arial"/>
          <w:bCs/>
          <w:color w:val="333333"/>
          <w:sz w:val="24"/>
          <w:szCs w:val="24"/>
          <w:shd w:val="clear" w:color="auto" w:fill="FFFFFF"/>
          <w:lang w:val="en-GB"/>
        </w:rPr>
        <w:t xml:space="preserve">, </w:t>
      </w:r>
      <w:r w:rsidR="00363C5E">
        <w:rPr>
          <w:rFonts w:ascii="Cambria" w:hAnsi="Cambria" w:cs="Arial"/>
          <w:bCs/>
          <w:color w:val="333333"/>
          <w:sz w:val="24"/>
          <w:szCs w:val="24"/>
          <w:shd w:val="clear" w:color="auto" w:fill="FFFFFF"/>
          <w:lang w:val="en-GB"/>
        </w:rPr>
        <w:t xml:space="preserve">the </w:t>
      </w:r>
      <w:r w:rsidRPr="000A0B78">
        <w:rPr>
          <w:rFonts w:ascii="Cambria" w:hAnsi="Cambria" w:cs="Arial"/>
          <w:bCs/>
          <w:color w:val="333333"/>
          <w:sz w:val="24"/>
          <w:szCs w:val="24"/>
          <w:shd w:val="clear" w:color="auto" w:fill="FFFFFF"/>
          <w:lang w:val="en-GB"/>
        </w:rPr>
        <w:t xml:space="preserve">Parliament is the supreme representative body of the people and the sole legislative authority of the state, empowered with the right to decide on the electoral system, the right of citizens to proceed to a legislative referendum not regulated by </w:t>
      </w:r>
      <w:r w:rsidR="00E24784">
        <w:rPr>
          <w:rFonts w:ascii="Cambria" w:hAnsi="Cambria" w:cs="Arial"/>
          <w:bCs/>
          <w:color w:val="333333"/>
          <w:sz w:val="24"/>
          <w:szCs w:val="24"/>
          <w:shd w:val="clear" w:color="auto" w:fill="FFFFFF"/>
          <w:lang w:val="en-GB"/>
        </w:rPr>
        <w:t xml:space="preserve">the </w:t>
      </w:r>
      <w:r w:rsidRPr="000A0B78">
        <w:rPr>
          <w:rFonts w:ascii="Cambria" w:hAnsi="Cambria" w:cs="Arial"/>
          <w:bCs/>
          <w:color w:val="333333"/>
          <w:sz w:val="24"/>
          <w:szCs w:val="24"/>
          <w:shd w:val="clear" w:color="auto" w:fill="FFFFFF"/>
          <w:lang w:val="en-GB"/>
        </w:rPr>
        <w:t>Constitution.</w:t>
      </w:r>
    </w:p>
    <w:p w:rsidR="00E24784" w:rsidRDefault="00E24784" w:rsidP="00DB5E08">
      <w:pPr>
        <w:jc w:val="both"/>
        <w:rPr>
          <w:rFonts w:ascii="Cambria" w:hAnsi="Cambria" w:cs="Arial"/>
          <w:bCs/>
          <w:color w:val="333333"/>
          <w:sz w:val="24"/>
          <w:szCs w:val="24"/>
          <w:shd w:val="clear" w:color="auto" w:fill="FFFFFF"/>
          <w:lang w:val="en-GB"/>
        </w:rPr>
      </w:pPr>
      <w:r w:rsidRPr="00E24784">
        <w:rPr>
          <w:rFonts w:ascii="Cambria" w:hAnsi="Cambria" w:cs="Arial"/>
          <w:bCs/>
          <w:color w:val="333333"/>
          <w:sz w:val="24"/>
          <w:szCs w:val="24"/>
          <w:shd w:val="clear" w:color="auto" w:fill="FFFFFF"/>
          <w:lang w:val="en-GB"/>
        </w:rPr>
        <w:lastRenderedPageBreak/>
        <w:t>On March 12, 2018, the Central Electoral Commission rejected</w:t>
      </w:r>
      <w:r>
        <w:rPr>
          <w:rStyle w:val="FootnoteReference"/>
          <w:rFonts w:ascii="Cambria" w:hAnsi="Cambria" w:cs="Arial"/>
          <w:bCs/>
          <w:color w:val="333333"/>
          <w:sz w:val="24"/>
          <w:szCs w:val="24"/>
          <w:shd w:val="clear" w:color="auto" w:fill="FFFFFF"/>
          <w:lang w:val="en-GB"/>
        </w:rPr>
        <w:footnoteReference w:id="12"/>
      </w:r>
      <w:r w:rsidRPr="00E24784">
        <w:rPr>
          <w:rFonts w:ascii="Cambria" w:hAnsi="Cambria" w:cs="Arial"/>
          <w:bCs/>
          <w:color w:val="333333"/>
          <w:sz w:val="24"/>
          <w:szCs w:val="24"/>
          <w:shd w:val="clear" w:color="auto" w:fill="FFFFFF"/>
          <w:lang w:val="en-GB"/>
        </w:rPr>
        <w:t xml:space="preserve"> a new request from the </w:t>
      </w:r>
      <w:r w:rsidR="001A4296">
        <w:rPr>
          <w:rFonts w:ascii="Cambria" w:hAnsi="Cambria" w:cs="Arial"/>
          <w:bCs/>
          <w:color w:val="333333"/>
          <w:sz w:val="24"/>
          <w:szCs w:val="24"/>
          <w:shd w:val="clear" w:color="auto" w:fill="FFFFFF"/>
          <w:lang w:val="en-GB"/>
        </w:rPr>
        <w:t>initiative group to organize a r</w:t>
      </w:r>
      <w:r w:rsidRPr="00E24784">
        <w:rPr>
          <w:rFonts w:ascii="Cambria" w:hAnsi="Cambria" w:cs="Arial"/>
          <w:bCs/>
          <w:color w:val="333333"/>
          <w:sz w:val="24"/>
          <w:szCs w:val="24"/>
          <w:shd w:val="clear" w:color="auto" w:fill="FFFFFF"/>
          <w:lang w:val="en-GB"/>
        </w:rPr>
        <w:t>ep</w:t>
      </w:r>
      <w:r w:rsidR="002D2BDF">
        <w:rPr>
          <w:rFonts w:ascii="Cambria" w:hAnsi="Cambria" w:cs="Arial"/>
          <w:bCs/>
          <w:color w:val="333333"/>
          <w:sz w:val="24"/>
          <w:szCs w:val="24"/>
          <w:shd w:val="clear" w:color="auto" w:fill="FFFFFF"/>
          <w:lang w:val="en-GB"/>
        </w:rPr>
        <w:t>ublican legislative referendum for the adoption of a law on</w:t>
      </w:r>
      <w:r w:rsidRPr="00E24784">
        <w:rPr>
          <w:rFonts w:ascii="Cambria" w:hAnsi="Cambria" w:cs="Arial"/>
          <w:bCs/>
          <w:color w:val="333333"/>
          <w:sz w:val="24"/>
          <w:szCs w:val="24"/>
          <w:shd w:val="clear" w:color="auto" w:fill="FFFFFF"/>
          <w:lang w:val="en-GB"/>
        </w:rPr>
        <w:t xml:space="preserve"> the electoral system, which stipulates that </w:t>
      </w:r>
      <w:r w:rsidR="002D2BDF">
        <w:rPr>
          <w:rFonts w:ascii="Cambria" w:hAnsi="Cambria" w:cs="Arial"/>
          <w:bCs/>
          <w:color w:val="333333"/>
          <w:sz w:val="24"/>
          <w:szCs w:val="24"/>
          <w:shd w:val="clear" w:color="auto" w:fill="FFFFFF"/>
          <w:lang w:val="en-GB"/>
        </w:rPr>
        <w:t xml:space="preserve">the </w:t>
      </w:r>
      <w:r w:rsidRPr="00E24784">
        <w:rPr>
          <w:rFonts w:ascii="Cambria" w:hAnsi="Cambria" w:cs="Arial"/>
          <w:bCs/>
          <w:color w:val="333333"/>
          <w:sz w:val="24"/>
          <w:szCs w:val="24"/>
          <w:shd w:val="clear" w:color="auto" w:fill="FFFFFF"/>
          <w:lang w:val="en-GB"/>
        </w:rPr>
        <w:t xml:space="preserve">Parliament's elections are based on a proportional voting system. Although the normative framework did not undergo any change, the CEC justified its refusal to register the application by invoking the (non-existent) constitutional jurisdiction </w:t>
      </w:r>
      <w:r w:rsidR="00FA6981">
        <w:rPr>
          <w:rFonts w:ascii="Cambria" w:hAnsi="Cambria" w:cs="Arial"/>
          <w:bCs/>
          <w:color w:val="333333"/>
          <w:sz w:val="24"/>
          <w:szCs w:val="24"/>
          <w:shd w:val="clear" w:color="auto" w:fill="FFFFFF"/>
          <w:lang w:val="en-GB"/>
        </w:rPr>
        <w:t>in the field of initiating the r</w:t>
      </w:r>
      <w:r w:rsidRPr="00E24784">
        <w:rPr>
          <w:rFonts w:ascii="Cambria" w:hAnsi="Cambria" w:cs="Arial"/>
          <w:bCs/>
          <w:color w:val="333333"/>
          <w:sz w:val="24"/>
          <w:szCs w:val="24"/>
          <w:shd w:val="clear" w:color="auto" w:fill="FFFFFF"/>
          <w:lang w:val="en-GB"/>
        </w:rPr>
        <w:t>epublican legislative referendum, in the absence of the normative legislative norms referring to the</w:t>
      </w:r>
      <w:r w:rsidR="0030304E">
        <w:rPr>
          <w:rFonts w:ascii="Cambria" w:hAnsi="Cambria" w:cs="Arial"/>
          <w:bCs/>
          <w:color w:val="333333"/>
          <w:sz w:val="24"/>
          <w:szCs w:val="24"/>
          <w:shd w:val="clear" w:color="auto" w:fill="FFFFFF"/>
          <w:lang w:val="en-GB"/>
        </w:rPr>
        <w:t xml:space="preserve"> initiation of the referendum by the</w:t>
      </w:r>
      <w:r w:rsidRPr="00E24784">
        <w:rPr>
          <w:rFonts w:ascii="Cambria" w:hAnsi="Cambria" w:cs="Arial"/>
          <w:bCs/>
          <w:color w:val="333333"/>
          <w:sz w:val="24"/>
          <w:szCs w:val="24"/>
          <w:shd w:val="clear" w:color="auto" w:fill="FFFFFF"/>
          <w:lang w:val="en-GB"/>
        </w:rPr>
        <w:t xml:space="preserve"> citizens, as well as </w:t>
      </w:r>
      <w:r w:rsidR="0030304E">
        <w:rPr>
          <w:rFonts w:ascii="Cambria" w:hAnsi="Cambria" w:cs="Arial"/>
          <w:bCs/>
          <w:color w:val="333333"/>
          <w:sz w:val="24"/>
          <w:szCs w:val="24"/>
          <w:shd w:val="clear" w:color="auto" w:fill="FFFFFF"/>
          <w:lang w:val="en-GB"/>
        </w:rPr>
        <w:t>by the</w:t>
      </w:r>
      <w:r w:rsidRPr="00E24784">
        <w:rPr>
          <w:rFonts w:ascii="Cambria" w:hAnsi="Cambria" w:cs="Arial"/>
          <w:bCs/>
          <w:color w:val="333333"/>
          <w:sz w:val="24"/>
          <w:szCs w:val="24"/>
          <w:shd w:val="clear" w:color="auto" w:fill="FFFFFF"/>
          <w:lang w:val="en-GB"/>
        </w:rPr>
        <w:t xml:space="preserve"> international regulations not to modify the elect</w:t>
      </w:r>
      <w:r w:rsidR="00D954E2">
        <w:rPr>
          <w:rFonts w:ascii="Cambria" w:hAnsi="Cambria" w:cs="Arial"/>
          <w:bCs/>
          <w:color w:val="333333"/>
          <w:sz w:val="24"/>
          <w:szCs w:val="24"/>
          <w:shd w:val="clear" w:color="auto" w:fill="FFFFFF"/>
          <w:lang w:val="en-GB"/>
        </w:rPr>
        <w:t xml:space="preserve">oral system </w:t>
      </w:r>
      <w:r w:rsidR="00B95C81">
        <w:rPr>
          <w:rFonts w:ascii="Cambria" w:hAnsi="Cambria" w:cs="Arial"/>
          <w:bCs/>
          <w:color w:val="333333"/>
          <w:sz w:val="24"/>
          <w:szCs w:val="24"/>
          <w:shd w:val="clear" w:color="auto" w:fill="FFFFFF"/>
          <w:lang w:val="en-GB"/>
        </w:rPr>
        <w:t xml:space="preserve">until </w:t>
      </w:r>
      <w:r w:rsidRPr="00E24784">
        <w:rPr>
          <w:rFonts w:ascii="Cambria" w:hAnsi="Cambria" w:cs="Arial"/>
          <w:bCs/>
          <w:color w:val="333333"/>
          <w:sz w:val="24"/>
          <w:szCs w:val="24"/>
          <w:shd w:val="clear" w:color="auto" w:fill="FFFFFF"/>
          <w:lang w:val="en-GB"/>
        </w:rPr>
        <w:t>at least one year bef</w:t>
      </w:r>
      <w:r w:rsidR="0063518A">
        <w:rPr>
          <w:rFonts w:ascii="Cambria" w:hAnsi="Cambria" w:cs="Arial"/>
          <w:bCs/>
          <w:color w:val="333333"/>
          <w:sz w:val="24"/>
          <w:szCs w:val="24"/>
          <w:shd w:val="clear" w:color="auto" w:fill="FFFFFF"/>
          <w:lang w:val="en-GB"/>
        </w:rPr>
        <w:t>ore the ordinary elections ...’</w:t>
      </w:r>
    </w:p>
    <w:p w:rsidR="006946BC" w:rsidRPr="00AB7799" w:rsidRDefault="00B95C81" w:rsidP="00DB5E08">
      <w:pPr>
        <w:jc w:val="both"/>
        <w:rPr>
          <w:rFonts w:ascii="Cambria" w:hAnsi="Cambria" w:cs="Arial"/>
          <w:bCs/>
          <w:color w:val="333333"/>
          <w:sz w:val="24"/>
          <w:szCs w:val="24"/>
          <w:shd w:val="clear" w:color="auto" w:fill="FFFFFF"/>
          <w:lang w:val="en-GB"/>
        </w:rPr>
      </w:pPr>
      <w:r>
        <w:rPr>
          <w:rFonts w:ascii="Cambria" w:hAnsi="Cambria" w:cs="Arial"/>
          <w:b/>
          <w:bCs/>
          <w:color w:val="333333"/>
          <w:sz w:val="24"/>
          <w:szCs w:val="24"/>
          <w:shd w:val="clear" w:color="auto" w:fill="FFFFFF"/>
          <w:lang w:val="en-GB"/>
        </w:rPr>
        <w:t>To conclude</w:t>
      </w:r>
      <w:r w:rsidR="00DB1719" w:rsidRPr="00AB7799">
        <w:rPr>
          <w:rFonts w:ascii="Cambria" w:hAnsi="Cambria" w:cs="Arial"/>
          <w:bCs/>
          <w:color w:val="333333"/>
          <w:sz w:val="24"/>
          <w:szCs w:val="24"/>
          <w:shd w:val="clear" w:color="auto" w:fill="FFFFFF"/>
          <w:lang w:val="en-GB"/>
        </w:rPr>
        <w:t>,</w:t>
      </w:r>
      <w:r w:rsidR="00DB5E08" w:rsidRPr="00AB7799">
        <w:rPr>
          <w:rFonts w:ascii="Cambria" w:hAnsi="Cambria" w:cs="Arial"/>
          <w:bCs/>
          <w:color w:val="333333"/>
          <w:sz w:val="24"/>
          <w:szCs w:val="24"/>
          <w:shd w:val="clear" w:color="auto" w:fill="FFFFFF"/>
          <w:lang w:val="en-GB"/>
        </w:rPr>
        <w:t xml:space="preserve"> </w:t>
      </w:r>
    </w:p>
    <w:p w:rsidR="00A5319C" w:rsidRDefault="00A5319C" w:rsidP="00C94866">
      <w:pPr>
        <w:ind w:firstLine="720"/>
        <w:jc w:val="both"/>
        <w:rPr>
          <w:rFonts w:ascii="Cambria" w:hAnsi="Cambria" w:cs="Arial"/>
          <w:bCs/>
          <w:color w:val="333333"/>
          <w:sz w:val="24"/>
          <w:szCs w:val="24"/>
          <w:shd w:val="clear" w:color="auto" w:fill="FFFFFF"/>
          <w:lang w:val="en-GB"/>
        </w:rPr>
      </w:pPr>
      <w:r w:rsidRPr="00A5319C">
        <w:rPr>
          <w:rFonts w:ascii="Cambria" w:hAnsi="Cambria" w:cs="Arial"/>
          <w:bCs/>
          <w:color w:val="333333"/>
          <w:sz w:val="24"/>
          <w:szCs w:val="24"/>
          <w:shd w:val="clear" w:color="auto" w:fill="FFFFFF"/>
          <w:lang w:val="en-GB"/>
        </w:rPr>
        <w:t>Recalling that the referendum is an instrument of direct democracy, through which citizens can express their views on issues of national interest;</w:t>
      </w:r>
      <w:r w:rsidR="007010B2" w:rsidRPr="00AB7799">
        <w:rPr>
          <w:rFonts w:ascii="Cambria" w:hAnsi="Cambria" w:cs="Arial"/>
          <w:bCs/>
          <w:color w:val="333333"/>
          <w:sz w:val="24"/>
          <w:szCs w:val="24"/>
          <w:shd w:val="clear" w:color="auto" w:fill="FFFFFF"/>
          <w:lang w:val="en-GB"/>
        </w:rPr>
        <w:tab/>
      </w:r>
    </w:p>
    <w:p w:rsidR="00C94866" w:rsidRDefault="00E5100C" w:rsidP="00555DC6">
      <w:pPr>
        <w:ind w:firstLine="720"/>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Calling a</w:t>
      </w:r>
      <w:r w:rsidR="00C94866" w:rsidRPr="00C94866">
        <w:rPr>
          <w:rFonts w:ascii="Cambria" w:hAnsi="Cambria" w:cs="Arial"/>
          <w:bCs/>
          <w:color w:val="333333"/>
          <w:sz w:val="24"/>
          <w:szCs w:val="24"/>
          <w:shd w:val="clear" w:color="auto" w:fill="FFFFFF"/>
          <w:lang w:val="en-GB"/>
        </w:rPr>
        <w:t>ttention to consistently visible actions by a number of public authorities aimed at limiting the exercise of constitutional rights of citizens in the Republic of Moldova;</w:t>
      </w:r>
    </w:p>
    <w:p w:rsidR="003B2D04" w:rsidRDefault="003B2D04" w:rsidP="00555DC6">
      <w:pPr>
        <w:ind w:firstLine="720"/>
        <w:jc w:val="both"/>
        <w:rPr>
          <w:rFonts w:ascii="Cambria" w:hAnsi="Cambria"/>
          <w:sz w:val="24"/>
          <w:szCs w:val="24"/>
          <w:lang w:val="en-GB"/>
        </w:rPr>
      </w:pPr>
      <w:r>
        <w:rPr>
          <w:rFonts w:ascii="Cambria" w:hAnsi="Cambria"/>
          <w:sz w:val="24"/>
          <w:szCs w:val="24"/>
          <w:lang w:val="en-GB"/>
        </w:rPr>
        <w:t>Regretting</w:t>
      </w:r>
      <w:r w:rsidRPr="003B2D04">
        <w:rPr>
          <w:rFonts w:ascii="Cambria" w:hAnsi="Cambria"/>
          <w:sz w:val="24"/>
          <w:szCs w:val="24"/>
          <w:lang w:val="en-GB"/>
        </w:rPr>
        <w:t xml:space="preserve"> that </w:t>
      </w:r>
      <w:r>
        <w:rPr>
          <w:rFonts w:ascii="Cambria" w:hAnsi="Cambria"/>
          <w:sz w:val="24"/>
          <w:szCs w:val="24"/>
          <w:lang w:val="en-GB"/>
        </w:rPr>
        <w:t>the Constitutional Court of the Republic of Moldova</w:t>
      </w:r>
      <w:r w:rsidR="008A5C24">
        <w:rPr>
          <w:rFonts w:ascii="Cambria" w:hAnsi="Cambria"/>
          <w:sz w:val="24"/>
          <w:szCs w:val="24"/>
          <w:lang w:val="en-GB"/>
        </w:rPr>
        <w:t xml:space="preserve">, </w:t>
      </w:r>
      <w:r w:rsidRPr="003B2D04">
        <w:rPr>
          <w:rFonts w:ascii="Cambria" w:hAnsi="Cambria"/>
          <w:sz w:val="24"/>
          <w:szCs w:val="24"/>
          <w:lang w:val="en-GB"/>
        </w:rPr>
        <w:t xml:space="preserve">in examining </w:t>
      </w:r>
      <w:r w:rsidR="00952419">
        <w:rPr>
          <w:rFonts w:ascii="Cambria" w:hAnsi="Cambria"/>
          <w:sz w:val="24"/>
          <w:szCs w:val="24"/>
          <w:lang w:val="en-GB"/>
        </w:rPr>
        <w:t>a particular case, unjustifiably</w:t>
      </w:r>
      <w:r w:rsidRPr="003B2D04">
        <w:rPr>
          <w:rFonts w:ascii="Cambria" w:hAnsi="Cambria"/>
          <w:sz w:val="24"/>
          <w:szCs w:val="24"/>
          <w:lang w:val="en-GB"/>
        </w:rPr>
        <w:t xml:space="preserve"> extended the scope of </w:t>
      </w:r>
      <w:r w:rsidR="008A5C24">
        <w:rPr>
          <w:rFonts w:ascii="Cambria" w:hAnsi="Cambria"/>
          <w:sz w:val="24"/>
          <w:szCs w:val="24"/>
          <w:lang w:val="en-GB"/>
        </w:rPr>
        <w:t xml:space="preserve">the examination and declared </w:t>
      </w:r>
      <w:r w:rsidRPr="003B2D04">
        <w:rPr>
          <w:rFonts w:ascii="Cambria" w:hAnsi="Cambria"/>
          <w:sz w:val="24"/>
          <w:szCs w:val="24"/>
          <w:lang w:val="en-GB"/>
        </w:rPr>
        <w:t xml:space="preserve">a rule </w:t>
      </w:r>
      <w:r w:rsidR="008A5C24">
        <w:rPr>
          <w:rFonts w:ascii="Cambria" w:hAnsi="Cambria"/>
          <w:sz w:val="24"/>
          <w:szCs w:val="24"/>
          <w:lang w:val="en-GB"/>
        </w:rPr>
        <w:t>guaranteeing</w:t>
      </w:r>
      <w:r w:rsidRPr="003B2D04">
        <w:rPr>
          <w:rFonts w:ascii="Cambria" w:hAnsi="Cambria"/>
          <w:sz w:val="24"/>
          <w:szCs w:val="24"/>
          <w:lang w:val="en-GB"/>
        </w:rPr>
        <w:t xml:space="preserve"> the right of citizens to </w:t>
      </w:r>
      <w:r w:rsidR="008A5C24">
        <w:rPr>
          <w:rFonts w:ascii="Cambria" w:hAnsi="Cambria"/>
          <w:sz w:val="24"/>
          <w:szCs w:val="24"/>
          <w:lang w:val="en-GB"/>
        </w:rPr>
        <w:t>initiate any type of referendum fully, not partially, unconstitutional;</w:t>
      </w:r>
    </w:p>
    <w:p w:rsidR="008A5C24" w:rsidRPr="008A5C24" w:rsidRDefault="008A5C24" w:rsidP="008A5C24">
      <w:pPr>
        <w:ind w:firstLine="720"/>
        <w:jc w:val="both"/>
        <w:rPr>
          <w:rFonts w:ascii="Cambria" w:hAnsi="Cambria"/>
          <w:sz w:val="24"/>
          <w:szCs w:val="24"/>
          <w:lang w:val="en-GB"/>
        </w:rPr>
      </w:pPr>
      <w:r>
        <w:rPr>
          <w:rFonts w:ascii="Cambria" w:hAnsi="Cambria"/>
          <w:sz w:val="24"/>
          <w:szCs w:val="24"/>
          <w:lang w:val="en-GB"/>
        </w:rPr>
        <w:t xml:space="preserve">Regretting </w:t>
      </w:r>
      <w:r w:rsidRPr="008A5C24">
        <w:rPr>
          <w:rFonts w:ascii="Cambria" w:hAnsi="Cambria"/>
          <w:sz w:val="24"/>
          <w:szCs w:val="24"/>
          <w:lang w:val="en-GB"/>
        </w:rPr>
        <w:t>that, following the Con</w:t>
      </w:r>
      <w:r>
        <w:rPr>
          <w:rFonts w:ascii="Cambria" w:hAnsi="Cambria"/>
          <w:sz w:val="24"/>
          <w:szCs w:val="24"/>
          <w:lang w:val="en-GB"/>
        </w:rPr>
        <w:t xml:space="preserve">stitutional Court's decision, several </w:t>
      </w:r>
      <w:r w:rsidRPr="008A5C24">
        <w:rPr>
          <w:rFonts w:ascii="Cambria" w:hAnsi="Cambria"/>
          <w:sz w:val="24"/>
          <w:szCs w:val="24"/>
          <w:lang w:val="en-GB"/>
        </w:rPr>
        <w:t xml:space="preserve">public authorities such as the Central Electoral Commission, the Ministry of Justice and the </w:t>
      </w:r>
      <w:r>
        <w:rPr>
          <w:rFonts w:ascii="Cambria" w:hAnsi="Cambria"/>
          <w:sz w:val="24"/>
          <w:szCs w:val="24"/>
          <w:lang w:val="en-GB"/>
        </w:rPr>
        <w:t>Parliamentary Commission ‘Legal Committee for Appointments and I</w:t>
      </w:r>
      <w:r w:rsidRPr="008A5C24">
        <w:rPr>
          <w:rFonts w:ascii="Cambria" w:hAnsi="Cambria"/>
          <w:sz w:val="24"/>
          <w:szCs w:val="24"/>
          <w:lang w:val="en-GB"/>
        </w:rPr>
        <w:t xml:space="preserve">mmunities have trained </w:t>
      </w:r>
      <w:r>
        <w:rPr>
          <w:rFonts w:ascii="Cambria" w:hAnsi="Cambria"/>
          <w:sz w:val="24"/>
          <w:szCs w:val="24"/>
          <w:lang w:val="en-GB"/>
        </w:rPr>
        <w:t>themselves in various forms to limit</w:t>
      </w:r>
      <w:r w:rsidRPr="008A5C24">
        <w:rPr>
          <w:rFonts w:ascii="Cambria" w:hAnsi="Cambria"/>
          <w:sz w:val="24"/>
          <w:szCs w:val="24"/>
          <w:lang w:val="en-GB"/>
        </w:rPr>
        <w:t xml:space="preserve"> the right of citizens to initiate any type of referendum;</w:t>
      </w:r>
    </w:p>
    <w:p w:rsidR="008A5C24" w:rsidRDefault="008A5C24" w:rsidP="00555DC6">
      <w:pPr>
        <w:ind w:firstLine="720"/>
        <w:jc w:val="both"/>
        <w:rPr>
          <w:rFonts w:ascii="Cambria" w:hAnsi="Cambria"/>
          <w:sz w:val="24"/>
          <w:szCs w:val="24"/>
          <w:lang w:val="en-GB"/>
        </w:rPr>
      </w:pPr>
      <w:r w:rsidRPr="008A5C24">
        <w:rPr>
          <w:rFonts w:ascii="Cambria" w:hAnsi="Cambria"/>
          <w:sz w:val="24"/>
          <w:szCs w:val="24"/>
          <w:lang w:val="en-GB"/>
        </w:rPr>
        <w:t>Considering that the prerogative of Parliament to declare resolutely all proposals to initiate the</w:t>
      </w:r>
      <w:r>
        <w:rPr>
          <w:rFonts w:ascii="Cambria" w:hAnsi="Cambria"/>
          <w:sz w:val="24"/>
          <w:szCs w:val="24"/>
          <w:lang w:val="en-GB"/>
        </w:rPr>
        <w:t xml:space="preserve"> referendum is excessive and might</w:t>
      </w:r>
      <w:r w:rsidRPr="008A5C24">
        <w:rPr>
          <w:rFonts w:ascii="Cambria" w:hAnsi="Cambria"/>
          <w:sz w:val="24"/>
          <w:szCs w:val="24"/>
          <w:lang w:val="en-GB"/>
        </w:rPr>
        <w:t xml:space="preserve"> serve as an unjustified and exclusive instrument of political opportunity to block popular initiatives;</w:t>
      </w:r>
    </w:p>
    <w:p w:rsidR="008A5C24" w:rsidRDefault="008A5C24" w:rsidP="008A5C24">
      <w:pPr>
        <w:ind w:firstLine="720"/>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Insisting on the fact that the</w:t>
      </w:r>
      <w:r w:rsidRPr="008A5C24">
        <w:rPr>
          <w:rFonts w:ascii="Cambria" w:hAnsi="Cambria" w:cs="Arial"/>
          <w:bCs/>
          <w:color w:val="333333"/>
          <w:sz w:val="24"/>
          <w:szCs w:val="24"/>
          <w:shd w:val="clear" w:color="auto" w:fill="FFFFFF"/>
          <w:lang w:val="en-GB"/>
        </w:rPr>
        <w:t xml:space="preserve"> participatory democracy counts and</w:t>
      </w:r>
      <w:r>
        <w:rPr>
          <w:rFonts w:ascii="Cambria" w:hAnsi="Cambria" w:cs="Arial"/>
          <w:bCs/>
          <w:color w:val="333333"/>
          <w:sz w:val="24"/>
          <w:szCs w:val="24"/>
          <w:shd w:val="clear" w:color="auto" w:fill="FFFFFF"/>
          <w:lang w:val="en-GB"/>
        </w:rPr>
        <w:t xml:space="preserve"> that</w:t>
      </w:r>
      <w:r w:rsidRPr="008A5C24">
        <w:rPr>
          <w:rFonts w:ascii="Cambria" w:hAnsi="Cambria" w:cs="Arial"/>
          <w:bCs/>
          <w:color w:val="333333"/>
          <w:sz w:val="24"/>
          <w:szCs w:val="24"/>
          <w:shd w:val="clear" w:color="auto" w:fill="FFFFFF"/>
          <w:lang w:val="en-GB"/>
        </w:rPr>
        <w:t xml:space="preserve"> in the decision-making process the good faith of public institution</w:t>
      </w:r>
      <w:r>
        <w:rPr>
          <w:rFonts w:ascii="Cambria" w:hAnsi="Cambria" w:cs="Arial"/>
          <w:bCs/>
          <w:color w:val="333333"/>
          <w:sz w:val="24"/>
          <w:szCs w:val="24"/>
          <w:shd w:val="clear" w:color="auto" w:fill="FFFFFF"/>
          <w:lang w:val="en-GB"/>
        </w:rPr>
        <w:t xml:space="preserve">s and political actors prevails, </w:t>
      </w:r>
      <w:r w:rsidRPr="008A5C24">
        <w:rPr>
          <w:rFonts w:ascii="Cambria" w:hAnsi="Cambria" w:cs="Arial"/>
          <w:bCs/>
          <w:color w:val="333333"/>
          <w:sz w:val="24"/>
          <w:szCs w:val="24"/>
          <w:shd w:val="clear" w:color="auto" w:fill="FFFFFF"/>
          <w:lang w:val="en-GB"/>
        </w:rPr>
        <w:t>and this will be assured</w:t>
      </w:r>
      <w:r>
        <w:rPr>
          <w:rFonts w:ascii="Cambria" w:hAnsi="Cambria" w:cs="Arial"/>
          <w:bCs/>
          <w:color w:val="333333"/>
          <w:sz w:val="24"/>
          <w:szCs w:val="24"/>
          <w:shd w:val="clear" w:color="auto" w:fill="FFFFFF"/>
          <w:lang w:val="en-GB"/>
        </w:rPr>
        <w:t xml:space="preserve">, which </w:t>
      </w:r>
      <w:r w:rsidRPr="008A5C24">
        <w:rPr>
          <w:rFonts w:ascii="Cambria" w:hAnsi="Cambria" w:cs="Arial"/>
          <w:bCs/>
          <w:color w:val="333333"/>
          <w:sz w:val="24"/>
          <w:szCs w:val="24"/>
          <w:shd w:val="clear" w:color="auto" w:fill="FFFFFF"/>
          <w:lang w:val="en-GB"/>
        </w:rPr>
        <w:t>will be the decisive factor in the evolution of law and jurisprudence in the Republic of Moldova;</w:t>
      </w:r>
      <w:r w:rsidR="007010B2" w:rsidRPr="00AB7799">
        <w:rPr>
          <w:rFonts w:ascii="Cambria" w:hAnsi="Cambria" w:cs="Arial"/>
          <w:bCs/>
          <w:color w:val="333333"/>
          <w:sz w:val="24"/>
          <w:szCs w:val="24"/>
          <w:shd w:val="clear" w:color="auto" w:fill="FFFFFF"/>
          <w:lang w:val="en-GB"/>
        </w:rPr>
        <w:tab/>
      </w:r>
    </w:p>
    <w:p w:rsidR="003B1915" w:rsidRPr="00AB7799" w:rsidRDefault="008A5C24" w:rsidP="00E8115C">
      <w:pPr>
        <w:ind w:firstLine="720"/>
        <w:jc w:val="both"/>
        <w:rPr>
          <w:rFonts w:ascii="Cambria" w:hAnsi="Cambria" w:cs="Arial"/>
          <w:bCs/>
          <w:color w:val="333333"/>
          <w:sz w:val="24"/>
          <w:szCs w:val="24"/>
          <w:shd w:val="clear" w:color="auto" w:fill="FFFFFF"/>
          <w:lang w:val="en-GB"/>
        </w:rPr>
      </w:pPr>
      <w:proofErr w:type="spellStart"/>
      <w:r w:rsidRPr="008A5C24">
        <w:rPr>
          <w:rFonts w:ascii="Cambria" w:hAnsi="Cambria" w:cs="Arial"/>
          <w:bCs/>
          <w:color w:val="333333"/>
          <w:sz w:val="24"/>
          <w:szCs w:val="24"/>
          <w:shd w:val="clear" w:color="auto" w:fill="FFFFFF"/>
          <w:lang w:val="en-GB"/>
        </w:rPr>
        <w:t>EaP</w:t>
      </w:r>
      <w:proofErr w:type="spellEnd"/>
      <w:r w:rsidRPr="008A5C24">
        <w:rPr>
          <w:rFonts w:ascii="Cambria" w:hAnsi="Cambria" w:cs="Arial"/>
          <w:bCs/>
          <w:color w:val="333333"/>
          <w:sz w:val="24"/>
          <w:szCs w:val="24"/>
          <w:shd w:val="clear" w:color="auto" w:fill="FFFFFF"/>
          <w:lang w:val="en-GB"/>
        </w:rPr>
        <w:t xml:space="preserve"> CSF</w:t>
      </w:r>
      <w:r>
        <w:rPr>
          <w:rFonts w:ascii="Cambria" w:hAnsi="Cambria" w:cs="Arial"/>
          <w:bCs/>
          <w:color w:val="333333"/>
          <w:sz w:val="24"/>
          <w:szCs w:val="24"/>
          <w:shd w:val="clear" w:color="auto" w:fill="FFFFFF"/>
          <w:lang w:val="en-GB"/>
        </w:rPr>
        <w:t xml:space="preserve"> National Platform Organisation</w:t>
      </w:r>
      <w:r w:rsidR="00CE7D18">
        <w:rPr>
          <w:rFonts w:ascii="Cambria" w:hAnsi="Cambria" w:cs="Arial"/>
          <w:bCs/>
          <w:color w:val="333333"/>
          <w:sz w:val="24"/>
          <w:szCs w:val="24"/>
          <w:shd w:val="clear" w:color="auto" w:fill="FFFFFF"/>
          <w:lang w:val="en-GB"/>
        </w:rPr>
        <w:t>s</w:t>
      </w:r>
      <w:r>
        <w:rPr>
          <w:rFonts w:ascii="Cambria" w:hAnsi="Cambria" w:cs="Arial"/>
          <w:bCs/>
          <w:color w:val="333333"/>
          <w:sz w:val="24"/>
          <w:szCs w:val="24"/>
          <w:shd w:val="clear" w:color="auto" w:fill="FFFFFF"/>
          <w:lang w:val="en-GB"/>
        </w:rPr>
        <w:t xml:space="preserve">, </w:t>
      </w:r>
      <w:r>
        <w:rPr>
          <w:rFonts w:ascii="Cambria" w:hAnsi="Cambria" w:cs="Arial"/>
          <w:b/>
          <w:bCs/>
          <w:color w:val="333333"/>
          <w:sz w:val="24"/>
          <w:szCs w:val="24"/>
          <w:shd w:val="clear" w:color="auto" w:fill="FFFFFF"/>
          <w:lang w:val="en-GB"/>
        </w:rPr>
        <w:t>CALL FOR</w:t>
      </w:r>
      <w:r>
        <w:rPr>
          <w:rFonts w:ascii="Cambria" w:hAnsi="Cambria" w:cs="Arial"/>
          <w:bCs/>
          <w:color w:val="333333"/>
          <w:sz w:val="24"/>
          <w:szCs w:val="24"/>
          <w:shd w:val="clear" w:color="auto" w:fill="FFFFFF"/>
          <w:lang w:val="en-GB"/>
        </w:rPr>
        <w:t>:</w:t>
      </w:r>
    </w:p>
    <w:p w:rsidR="008A5C24" w:rsidRDefault="008A5C24" w:rsidP="00D11E09">
      <w:pPr>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The p</w:t>
      </w:r>
      <w:r w:rsidRPr="008A5C24">
        <w:rPr>
          <w:rFonts w:ascii="Cambria" w:hAnsi="Cambria" w:cs="Arial"/>
          <w:bCs/>
          <w:color w:val="333333"/>
          <w:sz w:val="24"/>
          <w:szCs w:val="24"/>
          <w:shd w:val="clear" w:color="auto" w:fill="FFFFFF"/>
          <w:lang w:val="en-GB"/>
        </w:rPr>
        <w:t>ublic authorities, parliamentary and extra-parliamentary political parties, civil society organizations promoting democracy and the supremacy of human rights, other relevant national po</w:t>
      </w:r>
      <w:r>
        <w:rPr>
          <w:rFonts w:ascii="Cambria" w:hAnsi="Cambria" w:cs="Arial"/>
          <w:bCs/>
          <w:color w:val="333333"/>
          <w:sz w:val="24"/>
          <w:szCs w:val="24"/>
          <w:shd w:val="clear" w:color="auto" w:fill="FFFFFF"/>
          <w:lang w:val="en-GB"/>
        </w:rPr>
        <w:t xml:space="preserve">litical and apolitical </w:t>
      </w:r>
      <w:r w:rsidR="00181F48">
        <w:rPr>
          <w:rFonts w:ascii="Cambria" w:hAnsi="Cambria" w:cs="Arial"/>
          <w:bCs/>
          <w:color w:val="333333"/>
          <w:sz w:val="24"/>
          <w:szCs w:val="24"/>
          <w:shd w:val="clear" w:color="auto" w:fill="FFFFFF"/>
          <w:lang w:val="en-GB"/>
        </w:rPr>
        <w:t>actors</w:t>
      </w:r>
      <w:r>
        <w:rPr>
          <w:rFonts w:ascii="Cambria" w:hAnsi="Cambria" w:cs="Arial"/>
          <w:bCs/>
          <w:color w:val="333333"/>
          <w:sz w:val="24"/>
          <w:szCs w:val="24"/>
          <w:shd w:val="clear" w:color="auto" w:fill="FFFFFF"/>
          <w:lang w:val="en-GB"/>
        </w:rPr>
        <w:t>:</w:t>
      </w:r>
    </w:p>
    <w:p w:rsidR="008A5C24" w:rsidRDefault="008A5C24" w:rsidP="008A5C24">
      <w:pPr>
        <w:pStyle w:val="ListParagraph"/>
        <w:numPr>
          <w:ilvl w:val="0"/>
          <w:numId w:val="2"/>
        </w:numPr>
        <w:jc w:val="both"/>
        <w:rPr>
          <w:rFonts w:ascii="Cambria" w:hAnsi="Cambria" w:cs="Arial"/>
          <w:bCs/>
          <w:color w:val="333333"/>
          <w:sz w:val="24"/>
          <w:szCs w:val="24"/>
          <w:shd w:val="clear" w:color="auto" w:fill="FFFFFF"/>
          <w:lang w:val="en-GB"/>
        </w:rPr>
      </w:pPr>
      <w:r w:rsidRPr="008A5C24">
        <w:rPr>
          <w:rFonts w:ascii="Cambria" w:hAnsi="Cambria" w:cs="Arial"/>
          <w:bCs/>
          <w:color w:val="333333"/>
          <w:sz w:val="24"/>
          <w:szCs w:val="24"/>
          <w:shd w:val="clear" w:color="auto" w:fill="FFFFFF"/>
          <w:lang w:val="en-GB"/>
        </w:rPr>
        <w:t>to abandon initiatives to limit the right of citizens to exer</w:t>
      </w:r>
      <w:r>
        <w:rPr>
          <w:rFonts w:ascii="Cambria" w:hAnsi="Cambria" w:cs="Arial"/>
          <w:bCs/>
          <w:color w:val="333333"/>
          <w:sz w:val="24"/>
          <w:szCs w:val="24"/>
          <w:shd w:val="clear" w:color="auto" w:fill="FFFFFF"/>
          <w:lang w:val="en-GB"/>
        </w:rPr>
        <w:t xml:space="preserve">cise their sovereignty directly </w:t>
      </w:r>
      <w:r w:rsidRPr="008A5C24">
        <w:rPr>
          <w:rFonts w:ascii="Cambria" w:hAnsi="Cambria" w:cs="Arial"/>
          <w:bCs/>
          <w:color w:val="333333"/>
          <w:sz w:val="24"/>
          <w:szCs w:val="24"/>
          <w:shd w:val="clear" w:color="auto" w:fill="FFFFFF"/>
          <w:lang w:val="en-GB"/>
        </w:rPr>
        <w:t>by initiating any type of referendum;</w:t>
      </w:r>
    </w:p>
    <w:p w:rsidR="008A5C24" w:rsidRDefault="008A5C24" w:rsidP="008A5C24">
      <w:pPr>
        <w:pStyle w:val="ListParagraph"/>
        <w:numPr>
          <w:ilvl w:val="0"/>
          <w:numId w:val="2"/>
        </w:numPr>
        <w:jc w:val="both"/>
        <w:rPr>
          <w:rFonts w:ascii="Cambria" w:hAnsi="Cambria" w:cs="Arial"/>
          <w:bCs/>
          <w:color w:val="333333"/>
          <w:sz w:val="24"/>
          <w:szCs w:val="24"/>
          <w:shd w:val="clear" w:color="auto" w:fill="FFFFFF"/>
          <w:lang w:val="en-GB"/>
        </w:rPr>
      </w:pPr>
      <w:r w:rsidRPr="008A5C24">
        <w:rPr>
          <w:rFonts w:ascii="Cambria" w:hAnsi="Cambria" w:cs="Arial"/>
          <w:bCs/>
          <w:color w:val="333333"/>
          <w:sz w:val="24"/>
          <w:szCs w:val="24"/>
          <w:shd w:val="clear" w:color="auto" w:fill="FFFFFF"/>
          <w:lang w:val="en-GB"/>
        </w:rPr>
        <w:t>to initiate a genuine and constructive dialogue with promoters and opponents of ideas limiting the right of citizens to initiate any type of referendum;</w:t>
      </w:r>
    </w:p>
    <w:p w:rsidR="008A5C24" w:rsidRDefault="008A5C24" w:rsidP="008A5C24">
      <w:pPr>
        <w:pStyle w:val="ListParagraph"/>
        <w:numPr>
          <w:ilvl w:val="0"/>
          <w:numId w:val="2"/>
        </w:numPr>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 xml:space="preserve">to request </w:t>
      </w:r>
      <w:r w:rsidRPr="008A5C24">
        <w:rPr>
          <w:rFonts w:ascii="Cambria" w:hAnsi="Cambria" w:cs="Arial"/>
          <w:bCs/>
          <w:color w:val="333333"/>
          <w:sz w:val="24"/>
          <w:szCs w:val="24"/>
          <w:shd w:val="clear" w:color="auto" w:fill="FFFFFF"/>
          <w:lang w:val="en-GB"/>
        </w:rPr>
        <w:t>Venice Commission's opinion on limiting the right of citizens to initiate any type of referendum;</w:t>
      </w:r>
    </w:p>
    <w:p w:rsidR="008A5C24" w:rsidRDefault="008A5C24" w:rsidP="008A5C24">
      <w:pPr>
        <w:pStyle w:val="ListParagraph"/>
        <w:numPr>
          <w:ilvl w:val="0"/>
          <w:numId w:val="2"/>
        </w:numPr>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lastRenderedPageBreak/>
        <w:t>to r</w:t>
      </w:r>
      <w:r w:rsidRPr="008A5C24">
        <w:rPr>
          <w:rFonts w:ascii="Cambria" w:hAnsi="Cambria" w:cs="Arial"/>
          <w:bCs/>
          <w:color w:val="333333"/>
          <w:sz w:val="24"/>
          <w:szCs w:val="24"/>
          <w:shd w:val="clear" w:color="auto" w:fill="FFFFFF"/>
          <w:lang w:val="en-GB"/>
        </w:rPr>
        <w:t>ecognize, support and promote all legal requests initiated at national level to block in</w:t>
      </w:r>
      <w:r>
        <w:rPr>
          <w:rFonts w:ascii="Cambria" w:hAnsi="Cambria" w:cs="Arial"/>
          <w:bCs/>
          <w:color w:val="333333"/>
          <w:sz w:val="24"/>
          <w:szCs w:val="24"/>
          <w:shd w:val="clear" w:color="auto" w:fill="FFFFFF"/>
          <w:lang w:val="en-GB"/>
        </w:rPr>
        <w:t>itiatives that</w:t>
      </w:r>
      <w:r w:rsidRPr="008A5C24">
        <w:rPr>
          <w:rFonts w:ascii="Cambria" w:hAnsi="Cambria" w:cs="Arial"/>
          <w:bCs/>
          <w:color w:val="333333"/>
          <w:sz w:val="24"/>
          <w:szCs w:val="24"/>
          <w:shd w:val="clear" w:color="auto" w:fill="FFFFFF"/>
          <w:lang w:val="en-GB"/>
        </w:rPr>
        <w:t xml:space="preserve"> limit the right of citizens to initiate any type of referendum;</w:t>
      </w:r>
    </w:p>
    <w:p w:rsidR="008A5C24" w:rsidRDefault="008A5C24" w:rsidP="008A5C24">
      <w:pPr>
        <w:pStyle w:val="ListParagraph"/>
        <w:numPr>
          <w:ilvl w:val="0"/>
          <w:numId w:val="2"/>
        </w:numPr>
        <w:jc w:val="both"/>
        <w:rPr>
          <w:rFonts w:ascii="Cambria" w:hAnsi="Cambria" w:cs="Arial"/>
          <w:bCs/>
          <w:color w:val="333333"/>
          <w:sz w:val="24"/>
          <w:szCs w:val="24"/>
          <w:shd w:val="clear" w:color="auto" w:fill="FFFFFF"/>
          <w:lang w:val="en-GB"/>
        </w:rPr>
      </w:pPr>
      <w:r>
        <w:rPr>
          <w:rFonts w:ascii="Cambria" w:hAnsi="Cambria" w:cs="Arial"/>
          <w:bCs/>
          <w:color w:val="333333"/>
          <w:sz w:val="24"/>
          <w:szCs w:val="24"/>
          <w:shd w:val="clear" w:color="auto" w:fill="FFFFFF"/>
          <w:lang w:val="en-GB"/>
        </w:rPr>
        <w:t xml:space="preserve">to amend the </w:t>
      </w:r>
      <w:r w:rsidRPr="008A5C24">
        <w:rPr>
          <w:rFonts w:ascii="Cambria" w:hAnsi="Cambria" w:cs="Arial"/>
          <w:bCs/>
          <w:color w:val="333333"/>
          <w:sz w:val="24"/>
          <w:szCs w:val="24"/>
          <w:shd w:val="clear" w:color="auto" w:fill="FFFFFF"/>
          <w:lang w:val="en-GB"/>
        </w:rPr>
        <w:t xml:space="preserve">legislation to ensure a legal certainty of citizens' right to initiate any </w:t>
      </w:r>
      <w:r>
        <w:rPr>
          <w:rFonts w:ascii="Cambria" w:hAnsi="Cambria" w:cs="Arial"/>
          <w:bCs/>
          <w:color w:val="333333"/>
          <w:sz w:val="24"/>
          <w:szCs w:val="24"/>
          <w:shd w:val="clear" w:color="auto" w:fill="FFFFFF"/>
          <w:lang w:val="en-GB"/>
        </w:rPr>
        <w:t xml:space="preserve">type of </w:t>
      </w:r>
      <w:r w:rsidRPr="008A5C24">
        <w:rPr>
          <w:rFonts w:ascii="Cambria" w:hAnsi="Cambria" w:cs="Arial"/>
          <w:bCs/>
          <w:color w:val="333333"/>
          <w:sz w:val="24"/>
          <w:szCs w:val="24"/>
          <w:shd w:val="clear" w:color="auto" w:fill="FFFFFF"/>
          <w:lang w:val="en-GB"/>
        </w:rPr>
        <w:t>referendum and</w:t>
      </w:r>
      <w:r>
        <w:rPr>
          <w:rFonts w:ascii="Cambria" w:hAnsi="Cambria" w:cs="Arial"/>
          <w:bCs/>
          <w:color w:val="333333"/>
          <w:sz w:val="24"/>
          <w:szCs w:val="24"/>
          <w:shd w:val="clear" w:color="auto" w:fill="FFFFFF"/>
          <w:lang w:val="en-GB"/>
        </w:rPr>
        <w:t>, according</w:t>
      </w:r>
      <w:r w:rsidRPr="008A5C24">
        <w:rPr>
          <w:rFonts w:ascii="Cambria" w:hAnsi="Cambria" w:cs="Arial"/>
          <w:bCs/>
          <w:color w:val="333333"/>
          <w:sz w:val="24"/>
          <w:szCs w:val="24"/>
          <w:shd w:val="clear" w:color="auto" w:fill="FFFFFF"/>
          <w:lang w:val="en-GB"/>
        </w:rPr>
        <w:t xml:space="preserve"> to the o</w:t>
      </w:r>
      <w:r>
        <w:rPr>
          <w:rFonts w:ascii="Cambria" w:hAnsi="Cambria" w:cs="Arial"/>
          <w:bCs/>
          <w:color w:val="333333"/>
          <w:sz w:val="24"/>
          <w:szCs w:val="24"/>
          <w:shd w:val="clear" w:color="auto" w:fill="FFFFFF"/>
          <w:lang w:val="en-GB"/>
        </w:rPr>
        <w:t xml:space="preserve">bligation of public authorities, </w:t>
      </w:r>
      <w:r w:rsidRPr="008A5C24">
        <w:rPr>
          <w:rFonts w:ascii="Cambria" w:hAnsi="Cambria" w:cs="Arial"/>
          <w:bCs/>
          <w:color w:val="333333"/>
          <w:sz w:val="24"/>
          <w:szCs w:val="24"/>
          <w:shd w:val="clear" w:color="auto" w:fill="FFFFFF"/>
          <w:lang w:val="en-GB"/>
        </w:rPr>
        <w:t>to allocate the financial resources needed to consult the will of the people;</w:t>
      </w:r>
    </w:p>
    <w:p w:rsidR="00181F48" w:rsidRDefault="008A5C24" w:rsidP="00181F48">
      <w:pPr>
        <w:ind w:firstLine="360"/>
        <w:rPr>
          <w:rFonts w:ascii="Cambria" w:hAnsi="Cambria"/>
          <w:sz w:val="24"/>
          <w:szCs w:val="24"/>
          <w:lang w:val="en-GB"/>
        </w:rPr>
      </w:pPr>
      <w:r>
        <w:rPr>
          <w:rFonts w:ascii="Cambria" w:hAnsi="Cambria"/>
          <w:sz w:val="24"/>
          <w:szCs w:val="24"/>
          <w:lang w:val="en-GB"/>
        </w:rPr>
        <w:t xml:space="preserve">The international partners of the Republic of Moldova: </w:t>
      </w:r>
    </w:p>
    <w:p w:rsidR="008A5C24" w:rsidRPr="00181F48" w:rsidRDefault="008A5C24" w:rsidP="00181F48">
      <w:pPr>
        <w:pStyle w:val="ListParagraph"/>
        <w:numPr>
          <w:ilvl w:val="0"/>
          <w:numId w:val="1"/>
        </w:numPr>
        <w:rPr>
          <w:rFonts w:ascii="Cambria" w:hAnsi="Cambria"/>
          <w:sz w:val="24"/>
          <w:szCs w:val="24"/>
          <w:lang w:val="en-GB"/>
        </w:rPr>
      </w:pPr>
      <w:r w:rsidRPr="00181F48">
        <w:rPr>
          <w:rFonts w:ascii="Cambria" w:hAnsi="Cambria"/>
          <w:sz w:val="24"/>
          <w:szCs w:val="24"/>
          <w:lang w:val="en-GB"/>
        </w:rPr>
        <w:t>to continuously monitor the intention of the authorities of the Republic of Moldova to unjustifiably limit the right of the citizens of the Republic of Moldova to initiate any type of referendum but also to freely expose their opinion on a problem of national interest in a democratic exercise;</w:t>
      </w:r>
    </w:p>
    <w:p w:rsidR="005078BB" w:rsidRPr="008A5C24" w:rsidRDefault="008A5C24" w:rsidP="008A5C24">
      <w:pPr>
        <w:pStyle w:val="ListParagraph"/>
        <w:numPr>
          <w:ilvl w:val="0"/>
          <w:numId w:val="1"/>
        </w:numPr>
        <w:rPr>
          <w:rFonts w:ascii="Cambria" w:hAnsi="Cambria"/>
          <w:sz w:val="24"/>
          <w:szCs w:val="24"/>
          <w:lang w:val="en-GB"/>
        </w:rPr>
      </w:pPr>
      <w:r>
        <w:rPr>
          <w:rFonts w:ascii="Cambria" w:hAnsi="Cambria"/>
          <w:sz w:val="24"/>
          <w:szCs w:val="24"/>
          <w:lang w:val="en-GB"/>
        </w:rPr>
        <w:t xml:space="preserve">to insist on the </w:t>
      </w:r>
      <w:r w:rsidRPr="008A5C24">
        <w:rPr>
          <w:rFonts w:ascii="Cambria" w:hAnsi="Cambria"/>
          <w:sz w:val="24"/>
          <w:szCs w:val="24"/>
          <w:lang w:val="en-GB"/>
        </w:rPr>
        <w:t>consultation of the Venice Commission's opinion on draft laws on the right of Moldovan citizens to initiate any</w:t>
      </w:r>
      <w:r>
        <w:rPr>
          <w:rFonts w:ascii="Cambria" w:hAnsi="Cambria"/>
          <w:sz w:val="24"/>
          <w:szCs w:val="24"/>
          <w:lang w:val="en-GB"/>
        </w:rPr>
        <w:t xml:space="preserve"> type of</w:t>
      </w:r>
      <w:r w:rsidRPr="008A5C24">
        <w:rPr>
          <w:rFonts w:ascii="Cambria" w:hAnsi="Cambria"/>
          <w:sz w:val="24"/>
          <w:szCs w:val="24"/>
          <w:lang w:val="en-GB"/>
        </w:rPr>
        <w:t xml:space="preserve"> referendum.</w:t>
      </w:r>
    </w:p>
    <w:sectPr w:rsidR="005078BB" w:rsidRPr="008A5C24" w:rsidSect="000851AA">
      <w:pgSz w:w="12240" w:h="15840"/>
      <w:pgMar w:top="900" w:right="90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F2" w:rsidRDefault="006524F2" w:rsidP="00D3071A">
      <w:pPr>
        <w:spacing w:after="0" w:line="240" w:lineRule="auto"/>
      </w:pPr>
      <w:r>
        <w:separator/>
      </w:r>
    </w:p>
  </w:endnote>
  <w:endnote w:type="continuationSeparator" w:id="0">
    <w:p w:rsidR="006524F2" w:rsidRDefault="006524F2" w:rsidP="00D3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F2" w:rsidRDefault="006524F2" w:rsidP="00D3071A">
      <w:pPr>
        <w:spacing w:after="0" w:line="240" w:lineRule="auto"/>
      </w:pPr>
      <w:r>
        <w:separator/>
      </w:r>
    </w:p>
  </w:footnote>
  <w:footnote w:type="continuationSeparator" w:id="0">
    <w:p w:rsidR="006524F2" w:rsidRDefault="006524F2" w:rsidP="00D3071A">
      <w:pPr>
        <w:spacing w:after="0" w:line="240" w:lineRule="auto"/>
      </w:pPr>
      <w:r>
        <w:continuationSeparator/>
      </w:r>
    </w:p>
  </w:footnote>
  <w:footnote w:id="1">
    <w:p w:rsidR="00A15D37" w:rsidRPr="00A15D37" w:rsidRDefault="00A15D37">
      <w:pPr>
        <w:pStyle w:val="FootnoteText"/>
        <w:rPr>
          <w:lang w:val="en-GB"/>
        </w:rPr>
      </w:pPr>
      <w:r>
        <w:rPr>
          <w:rStyle w:val="FootnoteReference"/>
        </w:rPr>
        <w:footnoteRef/>
      </w:r>
      <w:r>
        <w:t xml:space="preserve"> </w:t>
      </w:r>
      <w:r w:rsidR="0096629A">
        <w:t>Besides citizens eligible to vote, the republican referendum may be initiated by at least one third of MPs, President of the Republic of Moldova and Government. According to Article 155(2) of the Electoral Code the mentioned actors could initiate any type of referendum.</w:t>
      </w:r>
    </w:p>
  </w:footnote>
  <w:footnote w:id="2">
    <w:p w:rsidR="00203087" w:rsidRPr="00203087" w:rsidRDefault="00203087">
      <w:pPr>
        <w:pStyle w:val="FootnoteText"/>
        <w:rPr>
          <w:lang w:val="en-GB"/>
        </w:rPr>
      </w:pPr>
      <w:r>
        <w:rPr>
          <w:rStyle w:val="FootnoteReference"/>
        </w:rPr>
        <w:footnoteRef/>
      </w:r>
      <w:r>
        <w:t xml:space="preserve"> </w:t>
      </w:r>
      <w:r w:rsidR="0096629A">
        <w:t xml:space="preserve">According to the Law No 764 of 27 December 2001 on the Territorial-Administrative </w:t>
      </w:r>
      <w:r w:rsidR="00F63DBC">
        <w:t>Organization of the Republic of Moldova, the 36 second level territorial-administrative units are represented by 32 districts, Chisinau and Balti municipalities, as well as by two terr</w:t>
      </w:r>
      <w:r w:rsidR="009B0ECE">
        <w:t xml:space="preserve">itorial-administrative units with special status (TAU </w:t>
      </w:r>
      <w:proofErr w:type="spellStart"/>
      <w:r w:rsidR="009B0ECE">
        <w:t>Gagauzia</w:t>
      </w:r>
      <w:proofErr w:type="spellEnd"/>
      <w:r w:rsidR="009B0ECE">
        <w:t xml:space="preserve"> and Transnistrian region).</w:t>
      </w:r>
    </w:p>
  </w:footnote>
  <w:footnote w:id="3">
    <w:p w:rsidR="001876F2" w:rsidRPr="001876F2" w:rsidRDefault="001876F2">
      <w:pPr>
        <w:pStyle w:val="FootnoteText"/>
        <w:rPr>
          <w:lang w:val="en-GB"/>
        </w:rPr>
      </w:pPr>
      <w:r>
        <w:rPr>
          <w:rStyle w:val="FootnoteReference"/>
        </w:rPr>
        <w:footnoteRef/>
      </w:r>
      <w:r>
        <w:t xml:space="preserve"> </w:t>
      </w:r>
      <w:hyperlink r:id="rId1" w:history="1">
        <w:r w:rsidR="002D0285" w:rsidRPr="00873029">
          <w:rPr>
            <w:rStyle w:val="Hyperlink"/>
          </w:rPr>
          <w:t>http://constcourt.md/ccdocview.php?tip=hotariri&amp;docid=627&amp;l=ro</w:t>
        </w:r>
      </w:hyperlink>
      <w:r w:rsidR="002D0285">
        <w:t xml:space="preserve"> </w:t>
      </w:r>
    </w:p>
  </w:footnote>
  <w:footnote w:id="4">
    <w:p w:rsidR="000A1D5C" w:rsidRPr="00EF4691" w:rsidRDefault="000A1D5C">
      <w:pPr>
        <w:pStyle w:val="FootnoteText"/>
        <w:rPr>
          <w:lang w:val="ro-RO"/>
        </w:rPr>
      </w:pPr>
      <w:r>
        <w:rPr>
          <w:rStyle w:val="FootnoteReference"/>
        </w:rPr>
        <w:footnoteRef/>
      </w:r>
      <w:r>
        <w:t xml:space="preserve"> </w:t>
      </w:r>
      <w:hyperlink r:id="rId2" w:history="1">
        <w:r w:rsidR="00EF4691" w:rsidRPr="00EB454C">
          <w:rPr>
            <w:rStyle w:val="Hyperlink"/>
            <w:lang w:val="ro-RO"/>
          </w:rPr>
          <w:t>http://cec.md/index.php?pag=news&amp;id=1001&amp;rid=21420&amp;l=ro</w:t>
        </w:r>
      </w:hyperlink>
      <w:r w:rsidR="00EF4691">
        <w:rPr>
          <w:lang w:val="ro-RO"/>
        </w:rPr>
        <w:t xml:space="preserve"> </w:t>
      </w:r>
    </w:p>
  </w:footnote>
  <w:footnote w:id="5">
    <w:p w:rsidR="0045487E" w:rsidRPr="002761EF" w:rsidRDefault="0045487E">
      <w:pPr>
        <w:pStyle w:val="FootnoteText"/>
        <w:rPr>
          <w:lang w:val="ro-RO"/>
        </w:rPr>
      </w:pPr>
      <w:r>
        <w:rPr>
          <w:rStyle w:val="FootnoteReference"/>
        </w:rPr>
        <w:footnoteRef/>
      </w:r>
      <w:r w:rsidRPr="002761EF">
        <w:rPr>
          <w:lang w:val="ro-RO"/>
        </w:rPr>
        <w:t xml:space="preserve"> </w:t>
      </w:r>
      <w:hyperlink r:id="rId3" w:history="1">
        <w:r w:rsidR="00EF4691" w:rsidRPr="002761EF">
          <w:rPr>
            <w:rStyle w:val="Hyperlink"/>
            <w:lang w:val="ro-RO"/>
          </w:rPr>
          <w:t>https://promolex.md/11378-opinia-asociatiei-promo-lex-respingerea-cererii-de-inregistrare-a-grupului-de-initiativa-pentru-desfasurarea-unui-referendum-legislativ-pune-la-indoiala-dreptul-cetatenilor-de-a-exercita-direct-suver/?lang=en</w:t>
        </w:r>
      </w:hyperlink>
      <w:r w:rsidR="00EF4691" w:rsidRPr="002761EF">
        <w:rPr>
          <w:lang w:val="ro-RO"/>
        </w:rPr>
        <w:t xml:space="preserve"> </w:t>
      </w:r>
    </w:p>
  </w:footnote>
  <w:footnote w:id="6">
    <w:p w:rsidR="00CC21C2" w:rsidRPr="002761EF" w:rsidRDefault="00CC21C2">
      <w:pPr>
        <w:pStyle w:val="FootnoteText"/>
        <w:rPr>
          <w:lang w:val="ro-RO"/>
        </w:rPr>
      </w:pPr>
      <w:r>
        <w:rPr>
          <w:rStyle w:val="FootnoteReference"/>
        </w:rPr>
        <w:footnoteRef/>
      </w:r>
      <w:r w:rsidRPr="002761EF">
        <w:rPr>
          <w:lang w:val="ro-RO"/>
        </w:rPr>
        <w:t xml:space="preserve"> </w:t>
      </w:r>
      <w:hyperlink r:id="rId4" w:history="1">
        <w:r w:rsidR="00EF4691" w:rsidRPr="00EB454C">
          <w:rPr>
            <w:rStyle w:val="Hyperlink"/>
            <w:lang w:val="ro-RO"/>
          </w:rPr>
          <w:t>http://www.justice.gov.md/public/files/2018/transparenta_in_procesul_decizional/februarie/1381.pdf</w:t>
        </w:r>
      </w:hyperlink>
    </w:p>
  </w:footnote>
  <w:footnote w:id="7">
    <w:p w:rsidR="00CC21C2" w:rsidRPr="00EF4691" w:rsidRDefault="00CC21C2" w:rsidP="00EF4691">
      <w:pPr>
        <w:pStyle w:val="FootnoteText"/>
        <w:rPr>
          <w:lang w:val="ro-RO"/>
        </w:rPr>
      </w:pPr>
      <w:r>
        <w:rPr>
          <w:rStyle w:val="FootnoteReference"/>
        </w:rPr>
        <w:footnoteRef/>
      </w:r>
      <w:r w:rsidRPr="002761EF">
        <w:rPr>
          <w:lang w:val="ro-RO"/>
        </w:rPr>
        <w:t xml:space="preserve"> </w:t>
      </w:r>
      <w:hyperlink r:id="rId5" w:history="1">
        <w:r w:rsidR="00EF4691" w:rsidRPr="00EB454C">
          <w:rPr>
            <w:rStyle w:val="Hyperlink"/>
            <w:lang w:val="ro-RO"/>
          </w:rPr>
          <w:t>https://promolex.md/wp-content/uploads/2018/03/Opinie-modif.-Cod-Electoral.pdf</w:t>
        </w:r>
      </w:hyperlink>
      <w:r w:rsidR="00EF4691">
        <w:rPr>
          <w:lang w:val="ro-RO"/>
        </w:rPr>
        <w:t xml:space="preserve"> </w:t>
      </w:r>
    </w:p>
  </w:footnote>
  <w:footnote w:id="8">
    <w:p w:rsidR="00103956" w:rsidRPr="002761EF" w:rsidRDefault="00103956" w:rsidP="00EF4691">
      <w:pPr>
        <w:pStyle w:val="FootnoteText"/>
        <w:rPr>
          <w:lang w:val="ro-RO"/>
        </w:rPr>
      </w:pPr>
      <w:r>
        <w:rPr>
          <w:rStyle w:val="FootnoteReference"/>
        </w:rPr>
        <w:footnoteRef/>
      </w:r>
      <w:r w:rsidRPr="002761EF">
        <w:rPr>
          <w:lang w:val="ro-RO"/>
        </w:rPr>
        <w:t xml:space="preserve"> </w:t>
      </w:r>
      <w:hyperlink r:id="rId6" w:history="1">
        <w:r w:rsidR="00EF4691" w:rsidRPr="00EB454C">
          <w:rPr>
            <w:rStyle w:val="Hyperlink"/>
            <w:lang w:val="ro-RO"/>
          </w:rPr>
          <w:t>https://watchdog.md/2018/02/26/opinia-asociatiei-comunitatea-watchdog-md-asupra-proiectului-legii-pentru-modificarea-si-completarea-codului-electoral-autor-ministerul-justitiei/</w:t>
        </w:r>
      </w:hyperlink>
    </w:p>
  </w:footnote>
  <w:footnote w:id="9">
    <w:p w:rsidR="001A202D" w:rsidRPr="002761EF" w:rsidRDefault="001A202D" w:rsidP="00EF4691">
      <w:pPr>
        <w:pStyle w:val="FootnoteText"/>
        <w:rPr>
          <w:lang w:val="ro-RO"/>
        </w:rPr>
      </w:pPr>
      <w:r>
        <w:rPr>
          <w:rStyle w:val="FootnoteReference"/>
        </w:rPr>
        <w:footnoteRef/>
      </w:r>
      <w:r w:rsidRPr="002761EF">
        <w:rPr>
          <w:lang w:val="ro-RO"/>
        </w:rPr>
        <w:t xml:space="preserve"> </w:t>
      </w:r>
      <w:hyperlink r:id="rId7" w:history="1">
        <w:r w:rsidR="00EF4691" w:rsidRPr="00EB454C">
          <w:rPr>
            <w:rStyle w:val="Hyperlink"/>
            <w:lang w:val="ro-RO"/>
          </w:rPr>
          <w:t>https://promolex.md/wp-content/uploads/2018/03/Opinie-modif.-Cod-Electoral.pdf</w:t>
        </w:r>
      </w:hyperlink>
    </w:p>
  </w:footnote>
  <w:footnote w:id="10">
    <w:p w:rsidR="00153F04" w:rsidRPr="00153F04" w:rsidRDefault="00153F04">
      <w:pPr>
        <w:pStyle w:val="FootnoteText"/>
        <w:rPr>
          <w:lang w:val="en-GB"/>
        </w:rPr>
      </w:pPr>
      <w:r>
        <w:rPr>
          <w:rStyle w:val="FootnoteReference"/>
        </w:rPr>
        <w:footnoteRef/>
      </w:r>
      <w:r>
        <w:t xml:space="preserve"> </w:t>
      </w:r>
      <w:r w:rsidR="00EF4691">
        <w:t xml:space="preserve">According </w:t>
      </w:r>
      <w:r w:rsidR="00325BA7">
        <w:t xml:space="preserve">to Article 72(2) of the Law No 100 of 22 December 2017, the formal interpretation of laws is carried out exclusively by the Parliament by the adoption of interpreting laws. </w:t>
      </w:r>
    </w:p>
  </w:footnote>
  <w:footnote w:id="11">
    <w:p w:rsidR="00181F48" w:rsidRPr="00181F48" w:rsidRDefault="00181F48" w:rsidP="00181F48">
      <w:pPr>
        <w:pStyle w:val="FootnoteText"/>
        <w:rPr>
          <w:lang w:val="en-GB"/>
        </w:rPr>
      </w:pPr>
      <w:r>
        <w:rPr>
          <w:rStyle w:val="FootnoteReference"/>
        </w:rPr>
        <w:footnoteRef/>
      </w:r>
      <w:r>
        <w:t xml:space="preserve"> </w:t>
      </w:r>
      <w:hyperlink r:id="rId8" w:history="1">
        <w:r w:rsidRPr="00702136">
          <w:rPr>
            <w:rStyle w:val="Hyperlink"/>
            <w:lang w:val="ro-RO"/>
          </w:rPr>
          <w:t>https://watch.cpr.md/cec-refuza-cetatenilor-dreptul-la-initierea-referendumului-legislativ-inca-o-proba-degradarii-mecanismelor-democratice/</w:t>
        </w:r>
      </w:hyperlink>
    </w:p>
  </w:footnote>
  <w:footnote w:id="12">
    <w:p w:rsidR="00E24784" w:rsidRPr="00E24784" w:rsidRDefault="00E24784" w:rsidP="00325BA7">
      <w:pPr>
        <w:pStyle w:val="FootnoteText"/>
        <w:rPr>
          <w:lang w:val="en-GB"/>
        </w:rPr>
      </w:pPr>
      <w:r>
        <w:rPr>
          <w:rStyle w:val="FootnoteReference"/>
        </w:rPr>
        <w:footnoteRef/>
      </w:r>
      <w:r>
        <w:t xml:space="preserve"> </w:t>
      </w:r>
      <w:hyperlink r:id="rId9" w:history="1">
        <w:r w:rsidR="00181F48" w:rsidRPr="00EB454C">
          <w:rPr>
            <w:rStyle w:val="Hyperlink"/>
            <w:lang w:val="ro-RO"/>
          </w:rPr>
          <w:t>http://cec.md/index.php?pag=news&amp;id=1001&amp;rid=21675&amp;l=ro</w:t>
        </w:r>
      </w:hyperlink>
      <w:r w:rsidR="00325BA7">
        <w:rPr>
          <w:rStyle w:val="Hyperlink"/>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20F0"/>
    <w:multiLevelType w:val="hybridMultilevel"/>
    <w:tmpl w:val="A5461052"/>
    <w:lvl w:ilvl="0" w:tplc="682AAE70">
      <w:start w:val="2"/>
      <w:numFmt w:val="bullet"/>
      <w:lvlText w:val="-"/>
      <w:lvlJc w:val="left"/>
      <w:pPr>
        <w:ind w:left="1080" w:hanging="360"/>
      </w:pPr>
      <w:rPr>
        <w:rFonts w:ascii="Cambria" w:eastAsiaTheme="minorHAnsi" w:hAnsi="Cambria"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7474CF1"/>
    <w:multiLevelType w:val="hybridMultilevel"/>
    <w:tmpl w:val="CA68AED4"/>
    <w:lvl w:ilvl="0" w:tplc="6340EF02">
      <w:start w:val="14"/>
      <w:numFmt w:val="bullet"/>
      <w:lvlText w:val="-"/>
      <w:lvlJc w:val="left"/>
      <w:pPr>
        <w:ind w:left="1080" w:hanging="360"/>
      </w:pPr>
      <w:rPr>
        <w:rFonts w:ascii="Cambria" w:eastAsiaTheme="minorHAns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61"/>
    <w:rsid w:val="00031817"/>
    <w:rsid w:val="0003381E"/>
    <w:rsid w:val="00050576"/>
    <w:rsid w:val="000851AA"/>
    <w:rsid w:val="000A0B78"/>
    <w:rsid w:val="000A1D5C"/>
    <w:rsid w:val="000B1F88"/>
    <w:rsid w:val="000B2131"/>
    <w:rsid w:val="000C2C4B"/>
    <w:rsid w:val="000F01F6"/>
    <w:rsid w:val="00103956"/>
    <w:rsid w:val="00104E0F"/>
    <w:rsid w:val="00107185"/>
    <w:rsid w:val="00140C12"/>
    <w:rsid w:val="00153F04"/>
    <w:rsid w:val="00181F48"/>
    <w:rsid w:val="001876F2"/>
    <w:rsid w:val="001A202D"/>
    <w:rsid w:val="001A4296"/>
    <w:rsid w:val="001B3B0C"/>
    <w:rsid w:val="00203087"/>
    <w:rsid w:val="00207820"/>
    <w:rsid w:val="0023046D"/>
    <w:rsid w:val="00231995"/>
    <w:rsid w:val="002520F2"/>
    <w:rsid w:val="002761EF"/>
    <w:rsid w:val="002A21A9"/>
    <w:rsid w:val="002D0285"/>
    <w:rsid w:val="002D2BDF"/>
    <w:rsid w:val="002F20D1"/>
    <w:rsid w:val="002F34D7"/>
    <w:rsid w:val="0030304E"/>
    <w:rsid w:val="0031077D"/>
    <w:rsid w:val="00314E96"/>
    <w:rsid w:val="0032005E"/>
    <w:rsid w:val="00325BA7"/>
    <w:rsid w:val="00341286"/>
    <w:rsid w:val="003622EB"/>
    <w:rsid w:val="00363C5E"/>
    <w:rsid w:val="003762E5"/>
    <w:rsid w:val="003A04CD"/>
    <w:rsid w:val="003B1915"/>
    <w:rsid w:val="003B1EC7"/>
    <w:rsid w:val="003B2D04"/>
    <w:rsid w:val="00443E71"/>
    <w:rsid w:val="0045487E"/>
    <w:rsid w:val="004804DF"/>
    <w:rsid w:val="004812E9"/>
    <w:rsid w:val="00490988"/>
    <w:rsid w:val="004A1429"/>
    <w:rsid w:val="004B3061"/>
    <w:rsid w:val="004D4CDC"/>
    <w:rsid w:val="00506345"/>
    <w:rsid w:val="005078BB"/>
    <w:rsid w:val="0052723E"/>
    <w:rsid w:val="005327E8"/>
    <w:rsid w:val="005551C7"/>
    <w:rsid w:val="00555DC6"/>
    <w:rsid w:val="00586BF0"/>
    <w:rsid w:val="005D73B7"/>
    <w:rsid w:val="0063518A"/>
    <w:rsid w:val="006413BF"/>
    <w:rsid w:val="006524F2"/>
    <w:rsid w:val="006761F7"/>
    <w:rsid w:val="006946BC"/>
    <w:rsid w:val="006A684D"/>
    <w:rsid w:val="006B3889"/>
    <w:rsid w:val="006C24EA"/>
    <w:rsid w:val="006D5A22"/>
    <w:rsid w:val="0070058C"/>
    <w:rsid w:val="007010B2"/>
    <w:rsid w:val="007352F9"/>
    <w:rsid w:val="00795B85"/>
    <w:rsid w:val="007A4FD8"/>
    <w:rsid w:val="007B173D"/>
    <w:rsid w:val="007F0B73"/>
    <w:rsid w:val="008368C8"/>
    <w:rsid w:val="00847265"/>
    <w:rsid w:val="00871182"/>
    <w:rsid w:val="00871915"/>
    <w:rsid w:val="0089031B"/>
    <w:rsid w:val="008A5C24"/>
    <w:rsid w:val="008C3556"/>
    <w:rsid w:val="0090672F"/>
    <w:rsid w:val="00910835"/>
    <w:rsid w:val="00952419"/>
    <w:rsid w:val="00964822"/>
    <w:rsid w:val="0096629A"/>
    <w:rsid w:val="009B0ECE"/>
    <w:rsid w:val="009C7868"/>
    <w:rsid w:val="00A15D37"/>
    <w:rsid w:val="00A2650D"/>
    <w:rsid w:val="00A32EFF"/>
    <w:rsid w:val="00A5319C"/>
    <w:rsid w:val="00AB2BE9"/>
    <w:rsid w:val="00AB7799"/>
    <w:rsid w:val="00B95C81"/>
    <w:rsid w:val="00BC03C0"/>
    <w:rsid w:val="00BC72A6"/>
    <w:rsid w:val="00C15136"/>
    <w:rsid w:val="00C3613B"/>
    <w:rsid w:val="00C94866"/>
    <w:rsid w:val="00CB04AE"/>
    <w:rsid w:val="00CC21C2"/>
    <w:rsid w:val="00CE7D18"/>
    <w:rsid w:val="00CF0761"/>
    <w:rsid w:val="00D11E09"/>
    <w:rsid w:val="00D3071A"/>
    <w:rsid w:val="00D954E2"/>
    <w:rsid w:val="00D97ED2"/>
    <w:rsid w:val="00DB1719"/>
    <w:rsid w:val="00DB5E08"/>
    <w:rsid w:val="00DE7F80"/>
    <w:rsid w:val="00DF01F1"/>
    <w:rsid w:val="00E00851"/>
    <w:rsid w:val="00E11E2D"/>
    <w:rsid w:val="00E24784"/>
    <w:rsid w:val="00E46436"/>
    <w:rsid w:val="00E5100C"/>
    <w:rsid w:val="00E60DE9"/>
    <w:rsid w:val="00E7449A"/>
    <w:rsid w:val="00E8115C"/>
    <w:rsid w:val="00EC4842"/>
    <w:rsid w:val="00EE302F"/>
    <w:rsid w:val="00EF4691"/>
    <w:rsid w:val="00F17961"/>
    <w:rsid w:val="00F23815"/>
    <w:rsid w:val="00F33F9A"/>
    <w:rsid w:val="00F53BBC"/>
    <w:rsid w:val="00F63DBC"/>
    <w:rsid w:val="00FA48C1"/>
    <w:rsid w:val="00FA6981"/>
    <w:rsid w:val="00FC19B8"/>
    <w:rsid w:val="00FF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7E2A-8107-4C5C-9812-A0298DE8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4842"/>
    <w:rPr>
      <w:b/>
      <w:bCs/>
    </w:rPr>
  </w:style>
  <w:style w:type="character" w:customStyle="1" w:styleId="docblue">
    <w:name w:val="doc_blue"/>
    <w:basedOn w:val="DefaultParagraphFont"/>
    <w:rsid w:val="002F34D7"/>
  </w:style>
  <w:style w:type="character" w:styleId="Hyperlink">
    <w:name w:val="Hyperlink"/>
    <w:basedOn w:val="DefaultParagraphFont"/>
    <w:uiPriority w:val="99"/>
    <w:unhideWhenUsed/>
    <w:rsid w:val="00871182"/>
    <w:rPr>
      <w:color w:val="0563C1" w:themeColor="hyperlink"/>
      <w:u w:val="single"/>
    </w:rPr>
  </w:style>
  <w:style w:type="paragraph" w:styleId="NormalWeb">
    <w:name w:val="Normal (Web)"/>
    <w:basedOn w:val="Normal"/>
    <w:uiPriority w:val="99"/>
    <w:semiHidden/>
    <w:unhideWhenUsed/>
    <w:rsid w:val="00031817"/>
    <w:pPr>
      <w:spacing w:after="0" w:line="240" w:lineRule="auto"/>
      <w:ind w:firstLine="567"/>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3071A"/>
    <w:pPr>
      <w:spacing w:after="0" w:line="240" w:lineRule="auto"/>
    </w:pPr>
    <w:rPr>
      <w:sz w:val="20"/>
      <w:szCs w:val="20"/>
    </w:rPr>
  </w:style>
  <w:style w:type="character" w:customStyle="1" w:styleId="FootnoteTextChar">
    <w:name w:val="Footnote Text Char"/>
    <w:basedOn w:val="DefaultParagraphFont"/>
    <w:link w:val="FootnoteText"/>
    <w:uiPriority w:val="99"/>
    <w:rsid w:val="00D3071A"/>
    <w:rPr>
      <w:sz w:val="20"/>
      <w:szCs w:val="20"/>
    </w:rPr>
  </w:style>
  <w:style w:type="character" w:styleId="FootnoteReference">
    <w:name w:val="footnote reference"/>
    <w:basedOn w:val="DefaultParagraphFont"/>
    <w:uiPriority w:val="99"/>
    <w:semiHidden/>
    <w:unhideWhenUsed/>
    <w:rsid w:val="00D3071A"/>
    <w:rPr>
      <w:vertAlign w:val="superscript"/>
    </w:rPr>
  </w:style>
  <w:style w:type="paragraph" w:styleId="ListParagraph">
    <w:name w:val="List Paragraph"/>
    <w:basedOn w:val="Normal"/>
    <w:uiPriority w:val="34"/>
    <w:qFormat/>
    <w:rsid w:val="006C24EA"/>
    <w:pPr>
      <w:ind w:left="720"/>
      <w:contextualSpacing/>
    </w:pPr>
  </w:style>
  <w:style w:type="paragraph" w:styleId="BalloonText">
    <w:name w:val="Balloon Text"/>
    <w:basedOn w:val="Normal"/>
    <w:link w:val="BalloonTextChar"/>
    <w:uiPriority w:val="99"/>
    <w:semiHidden/>
    <w:unhideWhenUsed/>
    <w:rsid w:val="00D1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6864">
      <w:bodyDiv w:val="1"/>
      <w:marLeft w:val="0"/>
      <w:marRight w:val="0"/>
      <w:marTop w:val="0"/>
      <w:marBottom w:val="0"/>
      <w:divBdr>
        <w:top w:val="none" w:sz="0" w:space="0" w:color="auto"/>
        <w:left w:val="none" w:sz="0" w:space="0" w:color="auto"/>
        <w:bottom w:val="none" w:sz="0" w:space="0" w:color="auto"/>
        <w:right w:val="none" w:sz="0" w:space="0" w:color="auto"/>
      </w:divBdr>
    </w:div>
    <w:div w:id="539978318">
      <w:bodyDiv w:val="1"/>
      <w:marLeft w:val="0"/>
      <w:marRight w:val="0"/>
      <w:marTop w:val="0"/>
      <w:marBottom w:val="0"/>
      <w:divBdr>
        <w:top w:val="none" w:sz="0" w:space="0" w:color="auto"/>
        <w:left w:val="none" w:sz="0" w:space="0" w:color="auto"/>
        <w:bottom w:val="none" w:sz="0" w:space="0" w:color="auto"/>
        <w:right w:val="none" w:sz="0" w:space="0" w:color="auto"/>
      </w:divBdr>
    </w:div>
    <w:div w:id="566696257">
      <w:bodyDiv w:val="1"/>
      <w:marLeft w:val="0"/>
      <w:marRight w:val="0"/>
      <w:marTop w:val="0"/>
      <w:marBottom w:val="0"/>
      <w:divBdr>
        <w:top w:val="none" w:sz="0" w:space="0" w:color="auto"/>
        <w:left w:val="none" w:sz="0" w:space="0" w:color="auto"/>
        <w:bottom w:val="none" w:sz="0" w:space="0" w:color="auto"/>
        <w:right w:val="none" w:sz="0" w:space="0" w:color="auto"/>
      </w:divBdr>
    </w:div>
    <w:div w:id="568928247">
      <w:bodyDiv w:val="1"/>
      <w:marLeft w:val="0"/>
      <w:marRight w:val="0"/>
      <w:marTop w:val="0"/>
      <w:marBottom w:val="0"/>
      <w:divBdr>
        <w:top w:val="none" w:sz="0" w:space="0" w:color="auto"/>
        <w:left w:val="none" w:sz="0" w:space="0" w:color="auto"/>
        <w:bottom w:val="none" w:sz="0" w:space="0" w:color="auto"/>
        <w:right w:val="none" w:sz="0" w:space="0" w:color="auto"/>
      </w:divBdr>
    </w:div>
    <w:div w:id="637223079">
      <w:bodyDiv w:val="1"/>
      <w:marLeft w:val="0"/>
      <w:marRight w:val="0"/>
      <w:marTop w:val="0"/>
      <w:marBottom w:val="0"/>
      <w:divBdr>
        <w:top w:val="none" w:sz="0" w:space="0" w:color="auto"/>
        <w:left w:val="none" w:sz="0" w:space="0" w:color="auto"/>
        <w:bottom w:val="none" w:sz="0" w:space="0" w:color="auto"/>
        <w:right w:val="none" w:sz="0" w:space="0" w:color="auto"/>
      </w:divBdr>
    </w:div>
    <w:div w:id="914437014">
      <w:bodyDiv w:val="1"/>
      <w:marLeft w:val="0"/>
      <w:marRight w:val="0"/>
      <w:marTop w:val="0"/>
      <w:marBottom w:val="0"/>
      <w:divBdr>
        <w:top w:val="none" w:sz="0" w:space="0" w:color="auto"/>
        <w:left w:val="none" w:sz="0" w:space="0" w:color="auto"/>
        <w:bottom w:val="none" w:sz="0" w:space="0" w:color="auto"/>
        <w:right w:val="none" w:sz="0" w:space="0" w:color="auto"/>
      </w:divBdr>
    </w:div>
    <w:div w:id="1603024602">
      <w:bodyDiv w:val="1"/>
      <w:marLeft w:val="0"/>
      <w:marRight w:val="0"/>
      <w:marTop w:val="0"/>
      <w:marBottom w:val="0"/>
      <w:divBdr>
        <w:top w:val="none" w:sz="0" w:space="0" w:color="auto"/>
        <w:left w:val="none" w:sz="0" w:space="0" w:color="auto"/>
        <w:bottom w:val="none" w:sz="0" w:space="0" w:color="auto"/>
        <w:right w:val="none" w:sz="0" w:space="0" w:color="auto"/>
      </w:divBdr>
    </w:div>
    <w:div w:id="2010404780">
      <w:bodyDiv w:val="1"/>
      <w:marLeft w:val="0"/>
      <w:marRight w:val="0"/>
      <w:marTop w:val="0"/>
      <w:marBottom w:val="0"/>
      <w:divBdr>
        <w:top w:val="none" w:sz="0" w:space="0" w:color="auto"/>
        <w:left w:val="none" w:sz="0" w:space="0" w:color="auto"/>
        <w:bottom w:val="none" w:sz="0" w:space="0" w:color="auto"/>
        <w:right w:val="none" w:sz="0" w:space="0" w:color="auto"/>
      </w:divBdr>
    </w:div>
    <w:div w:id="2018146497">
      <w:bodyDiv w:val="1"/>
      <w:marLeft w:val="0"/>
      <w:marRight w:val="0"/>
      <w:marTop w:val="0"/>
      <w:marBottom w:val="0"/>
      <w:divBdr>
        <w:top w:val="none" w:sz="0" w:space="0" w:color="auto"/>
        <w:left w:val="none" w:sz="0" w:space="0" w:color="auto"/>
        <w:bottom w:val="none" w:sz="0" w:space="0" w:color="auto"/>
        <w:right w:val="none" w:sz="0" w:space="0" w:color="auto"/>
      </w:divBdr>
    </w:div>
    <w:div w:id="20271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atch.cpr.md/cec-refuza-cetatenilor-dreptul-la-initierea-referendumului-legislativ-inca-o-proba-degradarii-mecanismelor-democratice/" TargetMode="External"/><Relationship Id="rId3" Type="http://schemas.openxmlformats.org/officeDocument/2006/relationships/hyperlink" Target="https://promolex.md/11378-opinia-asociatiei-promo-lex-respingerea-cererii-de-inregistrare-a-grupului-de-initiativa-pentru-desfasurarea-unui-referendum-legislativ-pune-la-indoiala-dreptul-cetatenilor-de-a-exercita-direct-suver/?lang=en" TargetMode="External"/><Relationship Id="rId7" Type="http://schemas.openxmlformats.org/officeDocument/2006/relationships/hyperlink" Target="https://promolex.md/wp-content/uploads/2018/03/Opinie-modif.-Cod-Electoral.pdf" TargetMode="External"/><Relationship Id="rId2" Type="http://schemas.openxmlformats.org/officeDocument/2006/relationships/hyperlink" Target="http://cec.md/index.php?pag=news&amp;id=1001&amp;rid=21420&amp;l=ro" TargetMode="External"/><Relationship Id="rId1" Type="http://schemas.openxmlformats.org/officeDocument/2006/relationships/hyperlink" Target="http://constcourt.md/ccdocview.php?tip=hotariri&amp;docid=627&amp;l=ro" TargetMode="External"/><Relationship Id="rId6" Type="http://schemas.openxmlformats.org/officeDocument/2006/relationships/hyperlink" Target="https://watchdog.md/2018/02/26/opinia-asociatiei-comunitatea-watchdog-md-asupra-proiectului-legii-pentru-modificarea-si-completarea-codului-electoral-autor-ministerul-justitiei/" TargetMode="External"/><Relationship Id="rId5" Type="http://schemas.openxmlformats.org/officeDocument/2006/relationships/hyperlink" Target="https://promolex.md/wp-content/uploads/2018/03/Opinie-modif.-Cod-Electoral.pdf" TargetMode="External"/><Relationship Id="rId4" Type="http://schemas.openxmlformats.org/officeDocument/2006/relationships/hyperlink" Target="http://www.justice.gov.md/public/files/2018/transparenta_in_procesul_decizional/februarie/1381.pdf" TargetMode="External"/><Relationship Id="rId9" Type="http://schemas.openxmlformats.org/officeDocument/2006/relationships/hyperlink" Target="http://cec.md/index.php?pag=news&amp;id=1001&amp;rid=21675&amp;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C6F3-EA70-4B4E-989B-333574C4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x2</cp:lastModifiedBy>
  <cp:revision>12</cp:revision>
  <dcterms:created xsi:type="dcterms:W3CDTF">2018-03-15T16:50:00Z</dcterms:created>
  <dcterms:modified xsi:type="dcterms:W3CDTF">2018-03-16T07:54:00Z</dcterms:modified>
</cp:coreProperties>
</file>